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jc w:val="center"/>
        <w:rPr>
          <w:rFonts w:hint="eastAsia" w:ascii="黑体" w:hAnsi="黑体" w:eastAsia="黑体" w:cs="黑体"/>
          <w:color w:val="000000"/>
          <w:kern w:val="0"/>
          <w:sz w:val="32"/>
          <w:szCs w:val="32"/>
        </w:rPr>
      </w:pPr>
      <w:r>
        <w:rPr>
          <w:rFonts w:hint="eastAsia" w:ascii="黑体" w:hAnsi="黑体" w:eastAsia="黑体"/>
          <w:kern w:val="0"/>
          <w:sz w:val="32"/>
          <w:szCs w:val="32"/>
          <w:lang w:val="en-US" w:eastAsia="zh-CN"/>
        </w:rPr>
        <w:t>2020</w:t>
      </w:r>
      <w:r>
        <w:rPr>
          <w:rFonts w:hint="eastAsia" w:ascii="黑体" w:hAnsi="黑体" w:eastAsia="黑体" w:cs="黑体"/>
          <w:color w:val="000000"/>
          <w:kern w:val="0"/>
          <w:sz w:val="32"/>
          <w:szCs w:val="32"/>
        </w:rPr>
        <w:t>年度</w:t>
      </w:r>
      <w:r>
        <w:rPr>
          <w:rFonts w:hint="eastAsia" w:eastAsia="仿宋_GB2312"/>
          <w:b/>
          <w:bCs/>
          <w:kern w:val="0"/>
          <w:sz w:val="32"/>
          <w:szCs w:val="32"/>
        </w:rPr>
        <w:t>邵阳市大祥区东风水轮泵站</w:t>
      </w:r>
      <w:r>
        <w:rPr>
          <w:rFonts w:hint="eastAsia" w:ascii="黑体" w:hAnsi="黑体" w:eastAsia="黑体" w:cs="黑体"/>
          <w:color w:val="000000"/>
          <w:kern w:val="0"/>
          <w:sz w:val="32"/>
          <w:szCs w:val="32"/>
        </w:rPr>
        <w:t>部门</w:t>
      </w:r>
    </w:p>
    <w:p>
      <w:pPr>
        <w:ind w:firstLine="640" w:firstLineChars="200"/>
        <w:jc w:val="center"/>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整体支出绩效评价报告</w:t>
      </w:r>
    </w:p>
    <w:p>
      <w:pPr>
        <w:pStyle w:val="5"/>
        <w:spacing w:line="600" w:lineRule="exact"/>
        <w:ind w:firstLine="643" w:firstLineChars="200"/>
        <w:rPr>
          <w:rFonts w:hint="eastAsia" w:ascii="楷体_GB2312" w:hAnsi="楷体_GB2312" w:eastAsia="楷体_GB2312" w:cs="楷体_GB2312"/>
          <w:b/>
          <w:bCs/>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一、基本情况</w:t>
      </w:r>
    </w:p>
    <w:p>
      <w:pPr>
        <w:spacing w:line="572" w:lineRule="exact"/>
        <w:ind w:firstLine="640" w:firstLineChars="200"/>
        <w:rPr>
          <w:rFonts w:eastAsia="仿宋_GB2312"/>
          <w:bCs/>
          <w:kern w:val="0"/>
          <w:sz w:val="32"/>
          <w:szCs w:val="32"/>
        </w:rPr>
      </w:pPr>
      <w:r>
        <w:rPr>
          <w:rFonts w:hint="eastAsia" w:ascii="仿宋_GB2312" w:hAnsi="仿宋" w:eastAsia="仿宋_GB2312"/>
          <w:sz w:val="32"/>
          <w:szCs w:val="32"/>
        </w:rPr>
        <w:t>根据中共邵阳市大祥区委机构编制委员会办公室《关于重新设置区直属以及部门所属事业单位的通知》（大编〔2019</w:t>
      </w:r>
      <w:r>
        <w:rPr>
          <w:rFonts w:hint="eastAsia" w:ascii="仿宋_GB2312" w:hAnsi="仿宋_GB2312" w:eastAsia="仿宋_GB2312" w:cs="仿宋_GB2312"/>
          <w:sz w:val="32"/>
          <w:szCs w:val="32"/>
        </w:rPr>
        <w:t>〕</w:t>
      </w:r>
      <w:r>
        <w:rPr>
          <w:rFonts w:hint="eastAsia" w:ascii="仿宋_GB2312" w:hAnsi="仿宋" w:eastAsia="仿宋_GB2312"/>
          <w:sz w:val="32"/>
          <w:szCs w:val="32"/>
        </w:rPr>
        <w:t>5号文件）以及中共邵阳市委机构编制委员会办公室《关于重新核定部分事业单位编制的通知》（大编〔2019</w:t>
      </w:r>
      <w:r>
        <w:rPr>
          <w:rFonts w:hint="eastAsia" w:ascii="仿宋_GB2312" w:hAnsi="仿宋_GB2312" w:eastAsia="仿宋_GB2312" w:cs="仿宋_GB2312"/>
          <w:sz w:val="32"/>
          <w:szCs w:val="32"/>
        </w:rPr>
        <w:t>〕</w:t>
      </w:r>
      <w:r>
        <w:rPr>
          <w:rFonts w:hint="eastAsia" w:ascii="仿宋_GB2312" w:hAnsi="仿宋" w:eastAsia="仿宋_GB2312"/>
          <w:sz w:val="32"/>
          <w:szCs w:val="32"/>
        </w:rPr>
        <w:t>10号文件），设立大祥区河道事务服务中心（加挂东风水轮泵站、区水利工程建设服务中心的牌子），大祥区河道事务服务中心为大祥区水利局所属公益一类全额拨款正股级事业单位。</w:t>
      </w:r>
    </w:p>
    <w:p>
      <w:pPr>
        <w:pStyle w:val="5"/>
        <w:spacing w:line="600" w:lineRule="exact"/>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年末共有5名在职人员，退休人员8人。</w:t>
      </w:r>
    </w:p>
    <w:p>
      <w:pPr>
        <w:widowControl/>
        <w:spacing w:line="600" w:lineRule="exact"/>
        <w:ind w:firstLine="643" w:firstLineChars="200"/>
        <w:rPr>
          <w:rFonts w:hint="eastAsia" w:ascii="楷体_GB2312" w:hAnsi="楷体_GB2312" w:eastAsia="楷体_GB2312" w:cs="楷体_GB2312"/>
          <w:b/>
          <w:bCs/>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二、部门职责</w:t>
      </w:r>
    </w:p>
    <w:p>
      <w:pPr>
        <w:pStyle w:val="5"/>
        <w:spacing w:line="600" w:lineRule="exact"/>
        <w:ind w:firstLine="640" w:firstLineChars="200"/>
        <w:rPr>
          <w:rFonts w:hint="eastAsia" w:ascii="仿宋_GB2312" w:hAnsi="Times New Roman" w:eastAsia="仿宋_GB2312" w:cs="Times New Roman"/>
          <w:color w:val="auto"/>
          <w:kern w:val="2"/>
          <w:sz w:val="32"/>
          <w:szCs w:val="32"/>
          <w:lang w:val="en-US" w:eastAsia="zh-CN" w:bidi="ar-SA"/>
        </w:rPr>
      </w:pPr>
      <w:r>
        <w:rPr>
          <w:rFonts w:hint="eastAsia" w:ascii="仿宋_GB2312" w:hAnsi="仿宋" w:eastAsia="仿宋_GB2312"/>
          <w:sz w:val="32"/>
          <w:szCs w:val="32"/>
        </w:rPr>
        <w:t>负责东风水轮泵站日常维护，为水利工程机械设备运行服务、水利工程安全监测、灌溉提供服</w:t>
      </w:r>
      <w:bookmarkStart w:id="0" w:name="_GoBack"/>
      <w:bookmarkEnd w:id="0"/>
      <w:r>
        <w:rPr>
          <w:rFonts w:hint="eastAsia" w:ascii="仿宋_GB2312" w:hAnsi="仿宋" w:eastAsia="仿宋_GB2312"/>
          <w:sz w:val="32"/>
          <w:szCs w:val="32"/>
        </w:rPr>
        <w:t>务</w:t>
      </w:r>
      <w:r>
        <w:rPr>
          <w:rFonts w:hint="eastAsia" w:eastAsia="仿宋_GB2312" w:cs="仿宋_GB2312"/>
          <w:sz w:val="32"/>
          <w:szCs w:val="32"/>
        </w:rPr>
        <w:t>。</w:t>
      </w:r>
    </w:p>
    <w:p>
      <w:pPr>
        <w:pStyle w:val="5"/>
        <w:numPr>
          <w:ilvl w:val="0"/>
          <w:numId w:val="0"/>
        </w:numPr>
        <w:spacing w:line="600" w:lineRule="exact"/>
        <w:rPr>
          <w:rFonts w:hint="eastAsia" w:ascii="楷体_GB2312" w:hAnsi="楷体_GB2312" w:eastAsia="楷体_GB2312" w:cs="楷体_GB2312"/>
          <w:b/>
          <w:bCs/>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　　三、部门整体支出概况</w:t>
      </w:r>
    </w:p>
    <w:p>
      <w:pPr>
        <w:pStyle w:val="5"/>
        <w:spacing w:line="600" w:lineRule="exact"/>
        <w:ind w:firstLine="643" w:firstLineChars="200"/>
        <w:rPr>
          <w:rFonts w:hint="eastAsia" w:ascii="仿宋" w:hAnsi="仿宋" w:eastAsia="仿宋"/>
          <w:sz w:val="32"/>
          <w:szCs w:val="32"/>
        </w:rPr>
      </w:pPr>
      <w:r>
        <w:rPr>
          <w:rFonts w:hint="eastAsia" w:ascii="Times New Roman" w:hAnsi="Times New Roman" w:eastAsia="仿宋_GB2312" w:cs="Times New Roman"/>
          <w:b/>
          <w:bCs/>
          <w:color w:val="auto"/>
          <w:sz w:val="32"/>
          <w:szCs w:val="32"/>
          <w:lang w:val="en-US" w:eastAsia="zh-CN"/>
        </w:rPr>
        <w:t>2020</w:t>
      </w:r>
      <w:r>
        <w:rPr>
          <w:rFonts w:hint="eastAsia" w:ascii="Times New Roman" w:hAnsi="Times New Roman" w:eastAsia="仿宋_GB2312" w:cs="Times New Roman"/>
          <w:bCs/>
          <w:color w:val="auto"/>
          <w:sz w:val="32"/>
          <w:szCs w:val="32"/>
        </w:rPr>
        <w:t>年度</w:t>
      </w:r>
      <w:r>
        <w:rPr>
          <w:rFonts w:ascii="Times New Roman" w:hAnsi="Times New Roman" w:eastAsia="仿宋_GB2312" w:cs="Times New Roman"/>
          <w:color w:val="auto"/>
          <w:sz w:val="32"/>
          <w:szCs w:val="32"/>
        </w:rPr>
        <w:t>收</w:t>
      </w:r>
      <w:r>
        <w:rPr>
          <w:rFonts w:hint="eastAsia" w:ascii="Times New Roman" w:hAnsi="Times New Roman" w:eastAsia="仿宋_GB2312" w:cs="Times New Roman"/>
          <w:color w:val="auto"/>
          <w:sz w:val="32"/>
          <w:szCs w:val="32"/>
          <w:lang w:eastAsia="zh-CN"/>
        </w:rPr>
        <w:t>入</w:t>
      </w:r>
      <w:r>
        <w:rPr>
          <w:rFonts w:hint="eastAsia" w:ascii="Times New Roman" w:hAnsi="Times New Roman" w:eastAsia="仿宋_GB2312" w:cs="Times New Roman"/>
          <w:color w:val="auto"/>
          <w:sz w:val="32"/>
          <w:szCs w:val="32"/>
          <w:lang w:val="en-US" w:eastAsia="zh-CN"/>
        </w:rPr>
        <w:t>48.1</w:t>
      </w:r>
      <w:r>
        <w:rPr>
          <w:rFonts w:ascii="Times New Roman" w:hAnsi="Times New Roman" w:eastAsia="仿宋_GB2312" w:cs="Times New Roman"/>
          <w:color w:val="auto"/>
          <w:sz w:val="32"/>
          <w:szCs w:val="32"/>
        </w:rPr>
        <w:t>万元</w:t>
      </w:r>
      <w:r>
        <w:rPr>
          <w:rFonts w:hint="eastAsia" w:ascii="Times New Roman" w:hAnsi="Times New Roman" w:eastAsia="仿宋_GB2312" w:cs="Times New Roman"/>
          <w:color w:val="auto"/>
          <w:sz w:val="32"/>
          <w:szCs w:val="32"/>
          <w:lang w:eastAsia="zh-CN"/>
        </w:rPr>
        <w:t>，年初结转和结余</w:t>
      </w:r>
      <w:r>
        <w:rPr>
          <w:rFonts w:hint="eastAsia" w:ascii="Times New Roman" w:hAnsi="Times New Roman" w:eastAsia="仿宋_GB2312" w:cs="Times New Roman"/>
          <w:color w:val="auto"/>
          <w:sz w:val="32"/>
          <w:szCs w:val="32"/>
          <w:lang w:val="en-US" w:eastAsia="zh-CN"/>
        </w:rPr>
        <w:t>12.75万，总计60.85万</w:t>
      </w:r>
      <w:r>
        <w:rPr>
          <w:rFonts w:ascii="Times New Roman" w:hAnsi="Times New Roman" w:eastAsia="仿宋_GB2312" w:cs="Times New Roman"/>
          <w:color w:val="auto"/>
          <w:sz w:val="32"/>
          <w:szCs w:val="32"/>
        </w:rPr>
        <w:t>。</w:t>
      </w:r>
      <w:r>
        <w:rPr>
          <w:rFonts w:hint="eastAsia" w:ascii="Times New Roman" w:hAnsi="Times New Roman" w:eastAsia="仿宋_GB2312" w:cs="Times New Roman"/>
          <w:b/>
          <w:bCs/>
          <w:color w:val="auto"/>
          <w:sz w:val="32"/>
          <w:szCs w:val="32"/>
          <w:lang w:val="en-US" w:eastAsia="zh-CN"/>
        </w:rPr>
        <w:t>2020</w:t>
      </w:r>
      <w:r>
        <w:rPr>
          <w:rFonts w:hint="eastAsia" w:ascii="Times New Roman" w:hAnsi="Times New Roman" w:eastAsia="仿宋_GB2312" w:cs="Times New Roman"/>
          <w:bCs/>
          <w:color w:val="auto"/>
          <w:sz w:val="32"/>
          <w:szCs w:val="32"/>
        </w:rPr>
        <w:t>年度</w:t>
      </w:r>
      <w:r>
        <w:rPr>
          <w:rFonts w:hint="eastAsia" w:ascii="Times New Roman" w:hAnsi="Times New Roman" w:eastAsia="仿宋_GB2312" w:cs="Times New Roman"/>
          <w:color w:val="auto"/>
          <w:sz w:val="32"/>
          <w:szCs w:val="32"/>
          <w:lang w:eastAsia="zh-CN"/>
        </w:rPr>
        <w:t>支出</w:t>
      </w:r>
      <w:r>
        <w:rPr>
          <w:rFonts w:hint="eastAsia" w:ascii="Times New Roman" w:hAnsi="Times New Roman" w:eastAsia="仿宋_GB2312" w:cs="Times New Roman"/>
          <w:color w:val="auto"/>
          <w:sz w:val="32"/>
          <w:szCs w:val="32"/>
          <w:u w:val="none"/>
          <w:lang w:val="en-US" w:eastAsia="zh-CN"/>
        </w:rPr>
        <w:t>45.9</w:t>
      </w:r>
      <w:r>
        <w:rPr>
          <w:rFonts w:ascii="Times New Roman" w:hAnsi="Times New Roman" w:eastAsia="仿宋_GB2312" w:cs="Times New Roman"/>
          <w:color w:val="auto"/>
          <w:sz w:val="32"/>
          <w:szCs w:val="32"/>
        </w:rPr>
        <w:t>万元</w:t>
      </w:r>
      <w:r>
        <w:rPr>
          <w:rFonts w:hint="eastAsia" w:ascii="Times New Roman" w:hAnsi="Times New Roman" w:eastAsia="仿宋_GB2312" w:cs="Times New Roman"/>
          <w:color w:val="auto"/>
          <w:sz w:val="32"/>
          <w:szCs w:val="32"/>
          <w:lang w:eastAsia="zh-CN"/>
        </w:rPr>
        <w:t>，年末结转和结余</w:t>
      </w:r>
      <w:r>
        <w:rPr>
          <w:rFonts w:hint="eastAsia" w:ascii="Times New Roman" w:hAnsi="Times New Roman" w:eastAsia="仿宋_GB2312" w:cs="Times New Roman"/>
          <w:color w:val="auto"/>
          <w:sz w:val="32"/>
          <w:szCs w:val="32"/>
          <w:lang w:val="en-US" w:eastAsia="zh-CN"/>
        </w:rPr>
        <w:t>14.95万，总计60.85万</w:t>
      </w:r>
      <w:r>
        <w:rPr>
          <w:rFonts w:ascii="Times New Roman" w:hAnsi="Times New Roman" w:eastAsia="仿宋_GB2312" w:cs="Times New Roman"/>
          <w:color w:val="auto"/>
          <w:sz w:val="32"/>
          <w:szCs w:val="32"/>
        </w:rPr>
        <w:t>。与201</w:t>
      </w:r>
      <w:r>
        <w:rPr>
          <w:rFonts w:hint="eastAsia" w:ascii="Times New Roman" w:hAnsi="Times New Roman" w:eastAsia="仿宋_GB2312" w:cs="Times New Roman"/>
          <w:color w:val="auto"/>
          <w:sz w:val="32"/>
          <w:szCs w:val="32"/>
          <w:lang w:val="en-US" w:eastAsia="zh-CN"/>
        </w:rPr>
        <w:t>9</w:t>
      </w:r>
      <w:r>
        <w:rPr>
          <w:rFonts w:ascii="Times New Roman" w:hAnsi="Times New Roman" w:eastAsia="仿宋_GB2312" w:cs="Times New Roman"/>
          <w:color w:val="auto"/>
          <w:sz w:val="32"/>
          <w:szCs w:val="32"/>
        </w:rPr>
        <w:t>年相比，</w:t>
      </w:r>
      <w:r>
        <w:rPr>
          <w:rFonts w:hint="eastAsia" w:ascii="Times New Roman" w:hAnsi="Times New Roman" w:eastAsia="仿宋_GB2312" w:cs="Times New Roman"/>
          <w:color w:val="auto"/>
          <w:sz w:val="32"/>
          <w:szCs w:val="32"/>
          <w:lang w:eastAsia="zh-CN"/>
        </w:rPr>
        <w:t>增加</w:t>
      </w:r>
      <w:r>
        <w:rPr>
          <w:rFonts w:hint="eastAsia" w:ascii="Times New Roman" w:hAnsi="Times New Roman" w:eastAsia="仿宋_GB2312" w:cs="Times New Roman"/>
          <w:color w:val="auto"/>
          <w:sz w:val="32"/>
          <w:szCs w:val="32"/>
          <w:lang w:val="en-US" w:eastAsia="zh-CN"/>
        </w:rPr>
        <w:t>0.94</w:t>
      </w:r>
      <w:r>
        <w:rPr>
          <w:rFonts w:ascii="Times New Roman" w:hAnsi="Times New Roman" w:eastAsia="仿宋_GB2312" w:cs="Times New Roman"/>
          <w:color w:val="auto"/>
          <w:sz w:val="32"/>
          <w:szCs w:val="32"/>
        </w:rPr>
        <w:t>万元，减少</w:t>
      </w:r>
      <w:r>
        <w:rPr>
          <w:rFonts w:hint="eastAsia" w:ascii="Times New Roman" w:hAnsi="Times New Roman" w:eastAsia="仿宋_GB2312" w:cs="Times New Roman"/>
          <w:color w:val="auto"/>
          <w:sz w:val="32"/>
          <w:szCs w:val="32"/>
          <w:lang w:val="en-US" w:eastAsia="zh-CN"/>
        </w:rPr>
        <w:t>2</w:t>
      </w:r>
      <w:r>
        <w:rPr>
          <w:rFonts w:ascii="Times New Roman" w:hAnsi="Times New Roman" w:eastAsia="仿宋_GB2312" w:cs="Times New Roman"/>
          <w:color w:val="auto"/>
          <w:sz w:val="32"/>
          <w:szCs w:val="32"/>
        </w:rPr>
        <w:t>%</w:t>
      </w:r>
      <w:r>
        <w:rPr>
          <w:rFonts w:hint="eastAsia" w:ascii="仿宋" w:hAnsi="仿宋" w:eastAsia="仿宋"/>
          <w:sz w:val="32"/>
          <w:szCs w:val="32"/>
        </w:rPr>
        <w:t>。</w:t>
      </w:r>
    </w:p>
    <w:p>
      <w:pPr>
        <w:pStyle w:val="5"/>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u w:val="none"/>
        </w:rPr>
        <w:t>本年支出合计</w:t>
      </w:r>
      <w:r>
        <w:rPr>
          <w:rFonts w:hint="eastAsia" w:ascii="Times New Roman" w:hAnsi="Times New Roman" w:eastAsia="仿宋_GB2312" w:cs="Times New Roman"/>
          <w:color w:val="auto"/>
          <w:sz w:val="32"/>
          <w:szCs w:val="32"/>
          <w:u w:val="none"/>
          <w:lang w:val="en-US" w:eastAsia="zh-CN"/>
        </w:rPr>
        <w:t>45.9</w:t>
      </w:r>
      <w:r>
        <w:rPr>
          <w:rFonts w:ascii="Times New Roman" w:hAnsi="Times New Roman" w:eastAsia="仿宋_GB2312" w:cs="Times New Roman"/>
          <w:color w:val="auto"/>
          <w:sz w:val="32"/>
          <w:szCs w:val="32"/>
          <w:u w:val="none"/>
        </w:rPr>
        <w:t>万元，其中：基本支出</w:t>
      </w:r>
      <w:r>
        <w:rPr>
          <w:rFonts w:hint="eastAsia" w:ascii="Times New Roman" w:hAnsi="Times New Roman" w:eastAsia="仿宋_GB2312" w:cs="Times New Roman"/>
          <w:color w:val="auto"/>
          <w:sz w:val="32"/>
          <w:szCs w:val="32"/>
          <w:u w:val="none"/>
          <w:lang w:val="en-US" w:eastAsia="zh-CN"/>
        </w:rPr>
        <w:t>45.9</w:t>
      </w:r>
      <w:r>
        <w:rPr>
          <w:rFonts w:ascii="Times New Roman" w:hAnsi="Times New Roman" w:eastAsia="仿宋_GB2312" w:cs="Times New Roman"/>
          <w:color w:val="auto"/>
          <w:sz w:val="32"/>
          <w:szCs w:val="32"/>
          <w:u w:val="none"/>
        </w:rPr>
        <w:t>万元，占</w:t>
      </w:r>
      <w:r>
        <w:rPr>
          <w:rFonts w:hint="eastAsia" w:ascii="Times New Roman" w:hAnsi="Times New Roman" w:eastAsia="仿宋_GB2312" w:cs="Times New Roman"/>
          <w:color w:val="auto"/>
          <w:sz w:val="32"/>
          <w:szCs w:val="32"/>
          <w:u w:val="none"/>
          <w:lang w:val="en-US" w:eastAsia="zh-CN"/>
        </w:rPr>
        <w:t>100</w:t>
      </w:r>
      <w:r>
        <w:rPr>
          <w:rFonts w:ascii="Times New Roman" w:hAnsi="Times New Roman" w:eastAsia="仿宋_GB2312" w:cs="Times New Roman"/>
          <w:color w:val="auto"/>
          <w:sz w:val="32"/>
          <w:szCs w:val="32"/>
          <w:u w:val="none"/>
        </w:rPr>
        <w:t xml:space="preserve"> %。</w:t>
      </w:r>
    </w:p>
    <w:p>
      <w:pPr>
        <w:pStyle w:val="5"/>
        <w:spacing w:line="600" w:lineRule="exact"/>
        <w:ind w:firstLine="643" w:firstLineChars="200"/>
        <w:rPr>
          <w:rFonts w:hint="eastAsia" w:ascii="宋体" w:hAnsi="宋体" w:eastAsia="宋体" w:cs="宋体"/>
          <w:b/>
          <w:bCs/>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四、部门整体支出绩效情况　</w:t>
      </w:r>
      <w:r>
        <w:rPr>
          <w:rFonts w:hint="eastAsia" w:eastAsia="仿宋_GB2312"/>
          <w:sz w:val="32"/>
          <w:szCs w:val="32"/>
          <w:lang w:eastAsia="zh-CN"/>
        </w:rPr>
        <w:t>　</w:t>
      </w:r>
    </w:p>
    <w:p>
      <w:pPr>
        <w:pStyle w:val="5"/>
        <w:spacing w:line="600" w:lineRule="exact"/>
        <w:ind w:firstLine="643" w:firstLineChars="200"/>
        <w:rPr>
          <w:rFonts w:hint="eastAsia" w:ascii="仿宋" w:hAnsi="仿宋" w:eastAsia="仿宋"/>
          <w:sz w:val="32"/>
          <w:szCs w:val="32"/>
        </w:rPr>
      </w:pPr>
      <w:r>
        <w:rPr>
          <w:rFonts w:hint="eastAsia" w:ascii="楷体_GB2312" w:hAnsi="楷体_GB2312" w:eastAsia="楷体_GB2312" w:cs="楷体_GB2312"/>
          <w:b/>
          <w:bCs/>
          <w:color w:val="auto"/>
          <w:kern w:val="2"/>
          <w:sz w:val="32"/>
          <w:szCs w:val="32"/>
          <w:lang w:val="en-US" w:eastAsia="zh-CN" w:bidi="ar-SA"/>
        </w:rPr>
        <w:t>1.聚焦中心任务。</w:t>
      </w:r>
      <w:r>
        <w:rPr>
          <w:rFonts w:hint="eastAsia" w:ascii="仿宋" w:hAnsi="仿宋" w:eastAsia="仿宋" w:cs="仿宋"/>
          <w:sz w:val="32"/>
          <w:szCs w:val="32"/>
          <w:lang w:eastAsia="zh-CN"/>
        </w:rPr>
        <w:t>维修养护泵站项目的实施大大提高了安全运行系数，加强了</w:t>
      </w:r>
      <w:r>
        <w:rPr>
          <w:rFonts w:hint="eastAsia" w:ascii="仿宋_GB2312" w:hAnsi="仿宋" w:eastAsia="仿宋_GB2312"/>
          <w:sz w:val="32"/>
          <w:szCs w:val="32"/>
        </w:rPr>
        <w:t>水利工程安全监测、灌溉提供服务</w:t>
      </w:r>
      <w:r>
        <w:rPr>
          <w:rFonts w:hint="eastAsia" w:ascii="仿宋" w:hAnsi="仿宋" w:eastAsia="仿宋" w:cs="仿宋"/>
          <w:sz w:val="32"/>
          <w:szCs w:val="32"/>
          <w:lang w:eastAsia="zh-CN"/>
        </w:rPr>
        <w:t>。</w:t>
      </w:r>
      <w:r>
        <w:rPr>
          <w:rFonts w:hint="eastAsia" w:ascii="仿宋_GB2312" w:hAnsi="Times New Roman" w:eastAsia="仿宋_GB2312" w:cs="Times New Roman"/>
          <w:color w:val="auto"/>
          <w:kern w:val="2"/>
          <w:sz w:val="32"/>
          <w:szCs w:val="32"/>
          <w:lang w:val="en-US" w:eastAsia="zh-CN" w:bidi="ar-SA"/>
        </w:rPr>
        <w:t>　</w:t>
      </w:r>
      <w:r>
        <w:rPr>
          <w:rFonts w:hint="eastAsia" w:ascii="楷体_GB2312" w:hAnsi="楷体_GB2312" w:eastAsia="楷体_GB2312" w:cs="楷体_GB2312"/>
          <w:b/>
          <w:bCs/>
          <w:color w:val="auto"/>
          <w:kern w:val="2"/>
          <w:sz w:val="32"/>
          <w:szCs w:val="32"/>
          <w:lang w:val="en-US" w:eastAsia="zh-CN" w:bidi="ar-SA"/>
        </w:rPr>
        <w:t xml:space="preserve"> </w:t>
      </w:r>
    </w:p>
    <w:p>
      <w:pPr>
        <w:pStyle w:val="5"/>
        <w:spacing w:line="600" w:lineRule="exact"/>
        <w:ind w:firstLine="643" w:firstLineChars="200"/>
        <w:rPr>
          <w:rFonts w:hint="eastAsia" w:ascii="仿宋" w:hAnsi="仿宋" w:eastAsia="仿宋"/>
          <w:sz w:val="32"/>
          <w:szCs w:val="32"/>
        </w:rPr>
      </w:pPr>
      <w:r>
        <w:rPr>
          <w:rFonts w:hint="eastAsia" w:ascii="楷体_GB2312" w:hAnsi="楷体_GB2312" w:eastAsia="楷体_GB2312" w:cs="楷体_GB2312"/>
          <w:b/>
          <w:bCs/>
          <w:color w:val="auto"/>
          <w:kern w:val="2"/>
          <w:sz w:val="32"/>
          <w:szCs w:val="32"/>
          <w:lang w:val="en-US" w:eastAsia="zh-CN" w:bidi="ar-SA"/>
        </w:rPr>
        <w:t>2、预、决算公开</w:t>
      </w:r>
      <w:r>
        <w:rPr>
          <w:rFonts w:hint="eastAsia"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年，按照相关的要求，</w:t>
      </w:r>
      <w:r>
        <w:rPr>
          <w:rFonts w:hint="eastAsia" w:ascii="仿宋" w:hAnsi="仿宋" w:eastAsia="仿宋"/>
          <w:sz w:val="32"/>
          <w:szCs w:val="32"/>
          <w:lang w:eastAsia="zh-CN"/>
        </w:rPr>
        <w:t>大祥区</w:t>
      </w:r>
      <w:r>
        <w:rPr>
          <w:rFonts w:hint="eastAsia" w:ascii="仿宋" w:hAnsi="仿宋" w:eastAsia="仿宋"/>
          <w:sz w:val="32"/>
          <w:szCs w:val="32"/>
        </w:rPr>
        <w:t>人民政府办公室在</w:t>
      </w:r>
      <w:r>
        <w:rPr>
          <w:rFonts w:hint="eastAsia" w:ascii="仿宋" w:hAnsi="仿宋" w:eastAsia="仿宋"/>
          <w:sz w:val="32"/>
          <w:szCs w:val="32"/>
          <w:lang w:eastAsia="zh-CN"/>
        </w:rPr>
        <w:t>大祥区党政门户网</w:t>
      </w:r>
      <w:r>
        <w:rPr>
          <w:rFonts w:hint="eastAsia" w:ascii="仿宋" w:hAnsi="仿宋" w:eastAsia="仿宋"/>
          <w:sz w:val="32"/>
          <w:szCs w:val="32"/>
        </w:rPr>
        <w:t>上进行了预、决算公开。</w:t>
      </w:r>
    </w:p>
    <w:p>
      <w:pPr>
        <w:pStyle w:val="5"/>
        <w:spacing w:line="600" w:lineRule="exact"/>
        <w:ind w:firstLine="643" w:firstLineChars="200"/>
        <w:rPr>
          <w:rFonts w:hint="eastAsia" w:ascii="仿宋" w:hAnsi="仿宋" w:eastAsia="仿宋"/>
          <w:sz w:val="32"/>
          <w:szCs w:val="32"/>
        </w:rPr>
      </w:pPr>
      <w:r>
        <w:rPr>
          <w:rFonts w:hint="eastAsia" w:ascii="楷体_GB2312" w:hAnsi="楷体_GB2312" w:eastAsia="楷体_GB2312" w:cs="楷体_GB2312"/>
          <w:b/>
          <w:bCs/>
          <w:color w:val="auto"/>
          <w:kern w:val="2"/>
          <w:sz w:val="32"/>
          <w:szCs w:val="32"/>
          <w:lang w:val="en-US" w:eastAsia="zh-CN" w:bidi="ar-SA"/>
        </w:rPr>
        <w:t>3、资产管理</w:t>
      </w:r>
      <w:r>
        <w:rPr>
          <w:rFonts w:hint="eastAsia" w:ascii="仿宋" w:hAnsi="仿宋" w:eastAsia="仿宋"/>
          <w:sz w:val="32"/>
          <w:szCs w:val="32"/>
        </w:rPr>
        <w:t>：为进一步加强资产的管理，</w:t>
      </w:r>
      <w:r>
        <w:rPr>
          <w:rFonts w:hint="eastAsia" w:ascii="仿宋" w:hAnsi="仿宋" w:eastAsia="仿宋"/>
          <w:sz w:val="32"/>
          <w:szCs w:val="32"/>
          <w:lang w:eastAsia="zh-CN"/>
        </w:rPr>
        <w:t>区</w:t>
      </w:r>
      <w:r>
        <w:rPr>
          <w:rFonts w:hint="eastAsia" w:ascii="仿宋" w:hAnsi="仿宋" w:eastAsia="仿宋"/>
          <w:sz w:val="32"/>
          <w:szCs w:val="32"/>
        </w:rPr>
        <w:t>政府办明确了具体</w:t>
      </w:r>
      <w:r>
        <w:rPr>
          <w:rFonts w:hint="eastAsia" w:ascii="仿宋" w:hAnsi="仿宋" w:eastAsia="仿宋"/>
          <w:sz w:val="32"/>
          <w:szCs w:val="32"/>
          <w:lang w:eastAsia="zh-CN"/>
        </w:rPr>
        <w:t>分管领导和</w:t>
      </w:r>
      <w:r>
        <w:rPr>
          <w:rFonts w:hint="eastAsia" w:ascii="仿宋" w:hAnsi="仿宋" w:eastAsia="仿宋"/>
          <w:sz w:val="32"/>
          <w:szCs w:val="32"/>
        </w:rPr>
        <w:t>责任人，对资产登记、领用、保管、销审等手续做了相关规定。</w:t>
      </w:r>
    </w:p>
    <w:p>
      <w:pPr>
        <w:pStyle w:val="5"/>
        <w:spacing w:line="600" w:lineRule="exact"/>
        <w:ind w:firstLine="643" w:firstLineChars="200"/>
        <w:rPr>
          <w:rFonts w:hint="eastAsia" w:ascii="仿宋" w:hAnsi="仿宋" w:eastAsia="仿宋"/>
          <w:sz w:val="32"/>
          <w:szCs w:val="32"/>
        </w:rPr>
      </w:pPr>
      <w:r>
        <w:rPr>
          <w:rFonts w:hint="eastAsia" w:ascii="楷体_GB2312" w:hAnsi="楷体_GB2312" w:eastAsia="楷体_GB2312" w:cs="楷体_GB2312"/>
          <w:b/>
          <w:bCs/>
          <w:color w:val="auto"/>
          <w:kern w:val="2"/>
          <w:sz w:val="32"/>
          <w:szCs w:val="32"/>
          <w:lang w:val="en-US" w:eastAsia="zh-CN" w:bidi="ar-SA"/>
        </w:rPr>
        <w:t>4、“三公经费”控制情况</w:t>
      </w:r>
      <w:r>
        <w:rPr>
          <w:rFonts w:hint="eastAsia" w:ascii="仿宋" w:hAnsi="仿宋" w:eastAsia="仿宋"/>
          <w:sz w:val="32"/>
          <w:szCs w:val="32"/>
        </w:rPr>
        <w:t>：</w:t>
      </w:r>
      <w:r>
        <w:rPr>
          <w:rFonts w:hint="eastAsia" w:ascii="Times New Roman" w:hAnsi="Times New Roman" w:eastAsia="仿宋_GB2312" w:cs="Times New Roman"/>
          <w:color w:val="auto"/>
          <w:sz w:val="32"/>
          <w:szCs w:val="32"/>
          <w:u w:val="none"/>
          <w:lang w:val="en-US" w:eastAsia="zh-CN"/>
        </w:rPr>
        <w:t>2020</w:t>
      </w:r>
      <w:r>
        <w:rPr>
          <w:rFonts w:ascii="Times New Roman" w:hAnsi="Times New Roman" w:eastAsia="仿宋_GB2312" w:cs="Times New Roman"/>
          <w:color w:val="auto"/>
          <w:sz w:val="32"/>
          <w:szCs w:val="32"/>
          <w:u w:val="none"/>
        </w:rPr>
        <w:t>年度“三公”经费财政拨款支出决算中，公务接待费支出决算</w:t>
      </w:r>
      <w:r>
        <w:rPr>
          <w:rFonts w:hint="eastAsia" w:ascii="Times New Roman" w:hAnsi="Times New Roman" w:eastAsia="仿宋_GB2312" w:cs="Times New Roman"/>
          <w:color w:val="auto"/>
          <w:sz w:val="32"/>
          <w:szCs w:val="32"/>
          <w:u w:val="none"/>
          <w:lang w:val="en-US" w:eastAsia="zh-CN"/>
        </w:rPr>
        <w:t>0</w:t>
      </w:r>
      <w:r>
        <w:rPr>
          <w:rFonts w:ascii="Times New Roman" w:hAnsi="Times New Roman" w:eastAsia="仿宋_GB2312" w:cs="Times New Roman"/>
          <w:color w:val="auto"/>
          <w:sz w:val="32"/>
          <w:szCs w:val="32"/>
          <w:u w:val="none"/>
        </w:rPr>
        <w:t>万元</w:t>
      </w:r>
      <w:r>
        <w:rPr>
          <w:rFonts w:hint="eastAsia" w:ascii="Times New Roman" w:hAnsi="Times New Roman" w:eastAsia="仿宋_GB2312" w:cs="Times New Roman"/>
          <w:color w:val="auto"/>
          <w:sz w:val="32"/>
          <w:szCs w:val="32"/>
          <w:u w:val="none"/>
          <w:lang w:val="en-US" w:eastAsia="zh-CN"/>
        </w:rPr>
        <w:t>，</w:t>
      </w:r>
      <w:r>
        <w:rPr>
          <w:rFonts w:ascii="Times New Roman" w:hAnsi="Times New Roman" w:eastAsia="仿宋_GB2312" w:cs="Times New Roman"/>
          <w:color w:val="auto"/>
          <w:sz w:val="32"/>
          <w:szCs w:val="32"/>
          <w:u w:val="none"/>
        </w:rPr>
        <w:t>因公出国（境）费支出决算</w:t>
      </w:r>
      <w:r>
        <w:rPr>
          <w:rFonts w:hint="eastAsia" w:ascii="Times New Roman" w:hAnsi="Times New Roman" w:eastAsia="仿宋_GB2312" w:cs="Times New Roman"/>
          <w:color w:val="auto"/>
          <w:sz w:val="32"/>
          <w:szCs w:val="32"/>
          <w:u w:val="none"/>
          <w:lang w:val="en-US" w:eastAsia="zh-CN"/>
        </w:rPr>
        <w:t>0</w:t>
      </w:r>
      <w:r>
        <w:rPr>
          <w:rFonts w:ascii="Times New Roman" w:hAnsi="Times New Roman" w:eastAsia="仿宋_GB2312" w:cs="Times New Roman"/>
          <w:color w:val="auto"/>
          <w:sz w:val="32"/>
          <w:szCs w:val="32"/>
          <w:u w:val="none"/>
        </w:rPr>
        <w:t>万元，公务用车购置费及运行维护费支出决算</w:t>
      </w:r>
      <w:r>
        <w:rPr>
          <w:rFonts w:hint="eastAsia" w:ascii="Times New Roman" w:hAnsi="Times New Roman" w:eastAsia="仿宋_GB2312" w:cs="Times New Roman"/>
          <w:color w:val="auto"/>
          <w:sz w:val="32"/>
          <w:szCs w:val="32"/>
          <w:u w:val="none"/>
          <w:lang w:val="en-US" w:eastAsia="zh-CN"/>
        </w:rPr>
        <w:t>0</w:t>
      </w:r>
      <w:r>
        <w:rPr>
          <w:rFonts w:ascii="Times New Roman" w:hAnsi="Times New Roman" w:eastAsia="仿宋_GB2312" w:cs="Times New Roman"/>
          <w:color w:val="auto"/>
          <w:sz w:val="32"/>
          <w:szCs w:val="32"/>
          <w:u w:val="none"/>
        </w:rPr>
        <w:t>万元。</w:t>
      </w:r>
    </w:p>
    <w:p>
      <w:pPr>
        <w:pStyle w:val="5"/>
        <w:spacing w:line="600" w:lineRule="exact"/>
        <w:ind w:firstLine="643" w:firstLineChars="200"/>
        <w:rPr>
          <w:rFonts w:hint="eastAsia" w:ascii="仿宋" w:hAnsi="仿宋" w:eastAsia="仿宋"/>
          <w:sz w:val="32"/>
          <w:szCs w:val="32"/>
        </w:rPr>
      </w:pPr>
      <w:r>
        <w:rPr>
          <w:rFonts w:hint="eastAsia" w:ascii="楷体_GB2312" w:hAnsi="楷体_GB2312" w:eastAsia="楷体_GB2312" w:cs="楷体_GB2312"/>
          <w:b/>
          <w:bCs/>
          <w:color w:val="auto"/>
          <w:kern w:val="2"/>
          <w:sz w:val="32"/>
          <w:szCs w:val="32"/>
          <w:lang w:val="en-US" w:eastAsia="zh-CN" w:bidi="ar-SA"/>
        </w:rPr>
        <w:t>5、内部管理制度建设情况</w:t>
      </w:r>
      <w:r>
        <w:rPr>
          <w:rFonts w:hint="eastAsia" w:ascii="仿宋" w:hAnsi="仿宋" w:eastAsia="仿宋"/>
          <w:sz w:val="32"/>
          <w:szCs w:val="32"/>
        </w:rPr>
        <w:t>：</w:t>
      </w:r>
      <w:r>
        <w:rPr>
          <w:rFonts w:hint="eastAsia" w:ascii="仿宋_GB2312" w:eastAsia="仿宋_GB2312"/>
          <w:sz w:val="32"/>
          <w:szCs w:val="32"/>
        </w:rPr>
        <w:t>我单位</w:t>
      </w:r>
      <w:r>
        <w:rPr>
          <w:rFonts w:hint="eastAsia" w:ascii="仿宋_GB2312" w:eastAsia="仿宋_GB2312"/>
          <w:sz w:val="32"/>
          <w:szCs w:val="32"/>
          <w:lang w:eastAsia="zh-CN"/>
        </w:rPr>
        <w:t>根据</w:t>
      </w:r>
      <w:r>
        <w:rPr>
          <w:rFonts w:hint="eastAsia" w:ascii="仿宋_GB2312" w:eastAsia="仿宋_GB2312"/>
          <w:sz w:val="32"/>
          <w:szCs w:val="32"/>
        </w:rPr>
        <w:t>自身特点,</w:t>
      </w:r>
      <w:r>
        <w:rPr>
          <w:rFonts w:hint="eastAsia" w:ascii="仿宋_GB2312" w:eastAsia="仿宋_GB2312"/>
          <w:sz w:val="32"/>
          <w:szCs w:val="32"/>
          <w:lang w:eastAsia="zh-CN"/>
        </w:rPr>
        <w:t>建立了</w:t>
      </w:r>
      <w:r>
        <w:rPr>
          <w:rFonts w:hint="eastAsia" w:ascii="仿宋_GB2312" w:eastAsia="仿宋_GB2312"/>
          <w:sz w:val="32"/>
          <w:szCs w:val="32"/>
        </w:rPr>
        <w:t>权责明确、运行有效、执行有力、管理科学的内部控制制度,</w:t>
      </w:r>
      <w:r>
        <w:rPr>
          <w:rFonts w:hint="eastAsia" w:ascii="仿宋_GB2312" w:eastAsia="仿宋_GB2312"/>
          <w:sz w:val="32"/>
          <w:szCs w:val="32"/>
          <w:lang w:eastAsia="zh-CN"/>
        </w:rPr>
        <w:t>为</w:t>
      </w:r>
      <w:r>
        <w:rPr>
          <w:rFonts w:hint="eastAsia" w:ascii="仿宋_GB2312" w:eastAsia="仿宋_GB2312"/>
          <w:sz w:val="32"/>
          <w:szCs w:val="32"/>
        </w:rPr>
        <w:t>加快推进管理单位内部控制制度的建设实施,成立</w:t>
      </w:r>
      <w:r>
        <w:rPr>
          <w:rFonts w:hint="eastAsia" w:ascii="仿宋_GB2312" w:eastAsia="仿宋_GB2312"/>
          <w:sz w:val="32"/>
          <w:szCs w:val="32"/>
          <w:lang w:eastAsia="zh-CN"/>
        </w:rPr>
        <w:t>了以局长为组长的</w:t>
      </w:r>
      <w:r>
        <w:rPr>
          <w:rFonts w:hint="eastAsia" w:ascii="仿宋_GB2312" w:eastAsia="仿宋_GB2312"/>
          <w:sz w:val="32"/>
          <w:szCs w:val="32"/>
        </w:rPr>
        <w:t>单位内部控制制度领导小组、内部控制工作小组</w:t>
      </w:r>
      <w:r>
        <w:rPr>
          <w:rFonts w:hint="eastAsia" w:ascii="仿宋_GB2312" w:eastAsia="仿宋_GB2312"/>
          <w:sz w:val="32"/>
          <w:szCs w:val="32"/>
          <w:lang w:eastAsia="zh-CN"/>
        </w:rPr>
        <w:t>、和</w:t>
      </w:r>
      <w:r>
        <w:rPr>
          <w:rFonts w:hint="eastAsia" w:ascii="仿宋_GB2312" w:eastAsia="仿宋_GB2312"/>
          <w:sz w:val="32"/>
          <w:szCs w:val="32"/>
        </w:rPr>
        <w:t>内部控制评价与监督小组</w:t>
      </w:r>
      <w:r>
        <w:rPr>
          <w:rFonts w:hint="eastAsia" w:ascii="仿宋_GB2312" w:eastAsia="仿宋_GB2312"/>
          <w:sz w:val="32"/>
          <w:szCs w:val="32"/>
          <w:lang w:eastAsia="zh-CN"/>
        </w:rPr>
        <w:t>。并出台了</w:t>
      </w:r>
      <w:r>
        <w:rPr>
          <w:rFonts w:hint="eastAsia" w:ascii="仿宋" w:hAnsi="仿宋" w:eastAsia="仿宋"/>
          <w:sz w:val="32"/>
          <w:szCs w:val="32"/>
        </w:rPr>
        <w:t>一系列内部管理制度。</w:t>
      </w:r>
    </w:p>
    <w:p>
      <w:pPr>
        <w:pStyle w:val="5"/>
        <w:spacing w:line="600" w:lineRule="exact"/>
        <w:ind w:firstLine="643" w:firstLineChars="200"/>
        <w:rPr>
          <w:rFonts w:hint="eastAsia" w:ascii="楷体_GB2312" w:hAnsi="楷体_GB2312" w:eastAsia="楷体_GB2312" w:cs="楷体_GB2312"/>
          <w:b/>
          <w:bCs/>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六、绩效评价工作情况</w:t>
      </w:r>
    </w:p>
    <w:p>
      <w:pPr>
        <w:pStyle w:val="5"/>
        <w:spacing w:line="600" w:lineRule="exact"/>
        <w:ind w:firstLine="643" w:firstLineChars="200"/>
        <w:rPr>
          <w:rFonts w:hint="eastAsia" w:ascii="楷体_GB2312" w:hAnsi="楷体_GB2312" w:eastAsia="楷体_GB2312" w:cs="楷体_GB2312"/>
          <w:b/>
          <w:bCs/>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（一）绩效评价目的。</w:t>
      </w:r>
    </w:p>
    <w:p>
      <w:pPr>
        <w:pStyle w:val="5"/>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一是通过绩效评价政策落实；二是对不同行政管理部门的经济、效率、效益情况进行全面比较；三是通过绩效评估的结果确定下一阶段的指标并依此合理分配</w:t>
      </w:r>
      <w:r>
        <w:rPr>
          <w:rFonts w:hint="eastAsia" w:ascii="仿宋" w:hAnsi="仿宋" w:eastAsia="仿宋"/>
          <w:sz w:val="32"/>
          <w:szCs w:val="32"/>
        </w:rPr>
        <w:fldChar w:fldCharType="begin"/>
      </w:r>
      <w:r>
        <w:rPr>
          <w:rFonts w:hint="eastAsia" w:ascii="仿宋" w:hAnsi="仿宋" w:eastAsia="仿宋"/>
          <w:sz w:val="32"/>
          <w:szCs w:val="32"/>
        </w:rPr>
        <w:instrText xml:space="preserve"> HYPERLINK "https://baike.baidu.com/item/%E8%B5%84%E6%BA%90" \t "http://www.yiyang.gov.cn/yiyang/6438/6439/6440/6444/6557/_blank" </w:instrText>
      </w:r>
      <w:r>
        <w:rPr>
          <w:rFonts w:hint="eastAsia" w:ascii="仿宋" w:hAnsi="仿宋" w:eastAsia="仿宋"/>
          <w:sz w:val="32"/>
          <w:szCs w:val="32"/>
        </w:rPr>
        <w:fldChar w:fldCharType="separate"/>
      </w:r>
      <w:r>
        <w:rPr>
          <w:rFonts w:hint="eastAsia" w:ascii="仿宋" w:hAnsi="仿宋" w:eastAsia="仿宋"/>
          <w:sz w:val="32"/>
          <w:szCs w:val="32"/>
        </w:rPr>
        <w:t>资源</w:t>
      </w:r>
      <w:r>
        <w:rPr>
          <w:rFonts w:hint="eastAsia" w:ascii="仿宋" w:hAnsi="仿宋" w:eastAsia="仿宋"/>
          <w:sz w:val="32"/>
          <w:szCs w:val="32"/>
        </w:rPr>
        <w:fldChar w:fldCharType="end"/>
      </w:r>
      <w:r>
        <w:rPr>
          <w:rFonts w:hint="eastAsia" w:ascii="仿宋" w:hAnsi="仿宋" w:eastAsia="仿宋"/>
          <w:sz w:val="32"/>
          <w:szCs w:val="32"/>
        </w:rPr>
        <w:t>；四是让广大群众了解、监督、参与政府的工作；五是通过绩效评众有助于政府在公众中建立和巩固对政府的信任，从而起到吸引更多政治资源的效果。</w:t>
      </w:r>
    </w:p>
    <w:p>
      <w:pPr>
        <w:pStyle w:val="5"/>
        <w:spacing w:line="600" w:lineRule="exact"/>
        <w:ind w:firstLine="643" w:firstLineChars="200"/>
        <w:rPr>
          <w:rFonts w:hint="eastAsia" w:ascii="楷体_GB2312" w:hAnsi="楷体_GB2312" w:eastAsia="楷体_GB2312" w:cs="楷体_GB2312"/>
          <w:b/>
          <w:bCs/>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（二）绩效评价工作过程。</w:t>
      </w:r>
    </w:p>
    <w:p>
      <w:pPr>
        <w:pStyle w:val="5"/>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一是前期准备，制订计划，每年年初制订工作计划，并对费用的支出进行预算。</w:t>
      </w:r>
    </w:p>
    <w:p>
      <w:pPr>
        <w:pStyle w:val="5"/>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二是按期考核，对年初制订的计划进行考核，无特殊情况，不随意更改、不临时调整。</w:t>
      </w:r>
    </w:p>
    <w:p>
      <w:pPr>
        <w:pStyle w:val="5"/>
        <w:spacing w:line="600" w:lineRule="exact"/>
        <w:ind w:firstLine="643" w:firstLineChars="200"/>
        <w:rPr>
          <w:rFonts w:hint="eastAsia" w:ascii="楷体_GB2312" w:hAnsi="楷体_GB2312" w:eastAsia="楷体_GB2312" w:cs="楷体_GB2312"/>
          <w:b/>
          <w:bCs/>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七、绩效评价结论</w:t>
      </w:r>
    </w:p>
    <w:p>
      <w:pPr>
        <w:pStyle w:val="5"/>
        <w:spacing w:line="600" w:lineRule="exact"/>
        <w:ind w:firstLine="600" w:firstLineChars="200"/>
        <w:rPr>
          <w:rFonts w:hint="eastAsia" w:ascii="楷体_GB2312" w:hAnsi="楷体_GB2312" w:eastAsia="楷体_GB2312" w:cs="楷体_GB2312"/>
          <w:b/>
          <w:bCs/>
          <w:color w:val="auto"/>
          <w:kern w:val="2"/>
          <w:sz w:val="32"/>
          <w:szCs w:val="32"/>
          <w:lang w:val="en-US" w:eastAsia="zh-CN" w:bidi="ar-SA"/>
        </w:rPr>
      </w:pPr>
      <w:r>
        <w:rPr>
          <w:rFonts w:hint="eastAsia" w:ascii="仿宋" w:hAnsi="仿宋" w:eastAsia="仿宋" w:cs="仿宋"/>
          <w:sz w:val="30"/>
          <w:szCs w:val="30"/>
          <w:lang w:val="en-US" w:eastAsia="zh-CN"/>
        </w:rPr>
        <w:t>通过此次自评工作，虽然总体评级等级为“优秀”，但也从中总结一些经验。一是在绩效评价方面，应及时收集相关材料、数据，及时对数据进行动态更新，建立台账管理制度；二是加强对绩效工作的督导检查，从项目审批到项目验收检查形成一套完整督导检查流程。</w:t>
      </w:r>
    </w:p>
    <w:p>
      <w:pPr>
        <w:pStyle w:val="5"/>
        <w:spacing w:line="600" w:lineRule="exact"/>
        <w:ind w:firstLine="643" w:firstLineChars="200"/>
        <w:rPr>
          <w:rFonts w:hint="eastAsia" w:ascii="楷体_GB2312" w:hAnsi="楷体_GB2312" w:eastAsia="楷体_GB2312" w:cs="楷体_GB2312"/>
          <w:b/>
          <w:bCs/>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八、存在的问题</w:t>
      </w:r>
    </w:p>
    <w:p>
      <w:pPr>
        <w:pStyle w:val="5"/>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泵站运行</w:t>
      </w:r>
      <w:r>
        <w:rPr>
          <w:rFonts w:hint="eastAsia" w:ascii="仿宋" w:hAnsi="仿宋" w:eastAsia="仿宋" w:cs="仿宋"/>
          <w:sz w:val="32"/>
          <w:szCs w:val="32"/>
        </w:rPr>
        <w:t>管理</w:t>
      </w:r>
      <w:r>
        <w:rPr>
          <w:rFonts w:hint="eastAsia" w:ascii="仿宋" w:hAnsi="仿宋" w:eastAsia="仿宋" w:cs="仿宋"/>
          <w:sz w:val="32"/>
          <w:szCs w:val="32"/>
          <w:lang w:eastAsia="zh-CN"/>
        </w:rPr>
        <w:t>管护人员少，且都是非专业人员存在泵站管护不专业问题；因区财政资金困难，管护经费依靠省级养护资金解决存在严重缺乏的</w:t>
      </w:r>
      <w:r>
        <w:rPr>
          <w:rFonts w:hint="eastAsia" w:ascii="仿宋" w:hAnsi="仿宋" w:eastAsia="仿宋" w:cs="仿宋"/>
          <w:sz w:val="32"/>
          <w:szCs w:val="32"/>
        </w:rPr>
        <w:t>问题。</w:t>
      </w:r>
    </w:p>
    <w:p>
      <w:pPr>
        <w:pStyle w:val="5"/>
        <w:spacing w:line="600" w:lineRule="exact"/>
        <w:ind w:firstLine="643" w:firstLineChars="200"/>
        <w:rPr>
          <w:rFonts w:hint="eastAsia" w:ascii="楷体_GB2312" w:hAnsi="楷体_GB2312" w:eastAsia="楷体_GB2312" w:cs="楷体_GB2312"/>
          <w:b/>
          <w:bCs/>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九、有关建议</w:t>
      </w:r>
    </w:p>
    <w:p>
      <w:pPr>
        <w:pStyle w:val="5"/>
        <w:spacing w:line="600" w:lineRule="exact"/>
        <w:ind w:firstLine="640" w:firstLineChars="200"/>
        <w:rPr>
          <w:rFonts w:hint="eastAsia" w:ascii="仿宋" w:hAnsi="仿宋" w:eastAsia="仿宋"/>
          <w:sz w:val="32"/>
          <w:szCs w:val="32"/>
        </w:rPr>
      </w:pPr>
      <w:r>
        <w:rPr>
          <w:rFonts w:hint="eastAsia" w:ascii="仿宋" w:hAnsi="仿宋" w:eastAsia="仿宋"/>
          <w:sz w:val="32"/>
          <w:szCs w:val="32"/>
        </w:rPr>
        <w:t>加大财务绩效评价工作的宣传和培训力度。</w:t>
      </w:r>
    </w:p>
    <w:p>
      <w:pPr>
        <w:spacing w:line="600" w:lineRule="exact"/>
        <w:rPr>
          <w:rFonts w:hint="eastAsia"/>
        </w:rPr>
      </w:pPr>
    </w:p>
    <w:p/>
    <w:sectPr>
      <w:pgSz w:w="11906" w:h="16838"/>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A731BC"/>
    <w:rsid w:val="0D163922"/>
    <w:rsid w:val="41A731BC"/>
    <w:rsid w:val="722A06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5">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2021-09-13T08:38:00Z</dcterms:created>
  <dc:creator>Administrator</dc:creator>
  <cp:lastModifiedBy>Administrator</cp:lastModifiedBy>
  <dcterms:modified xsi:type="dcterms:W3CDTF">2021-09-15T07:41:48Z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