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7B6B4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ascii="微软雅黑" w:hAnsi="微软雅黑" w:eastAsia="微软雅黑" w:cs="微软雅黑"/>
          <w:i w:val="0"/>
          <w:iCs w:val="0"/>
          <w:caps w:val="0"/>
          <w:color w:val="333333"/>
          <w:spacing w:val="0"/>
          <w:sz w:val="24"/>
          <w:szCs w:val="24"/>
        </w:rPr>
      </w:pPr>
      <w:bookmarkStart w:id="0" w:name="_GoBack"/>
      <w:r>
        <w:rPr>
          <w:rStyle w:val="9"/>
          <w:rFonts w:hint="eastAsia" w:ascii="微软雅黑" w:hAnsi="微软雅黑" w:eastAsia="微软雅黑" w:cs="微软雅黑"/>
          <w:i w:val="0"/>
          <w:iCs w:val="0"/>
          <w:caps w:val="0"/>
          <w:color w:val="333333"/>
          <w:spacing w:val="0"/>
          <w:sz w:val="52"/>
          <w:szCs w:val="52"/>
          <w:bdr w:val="none" w:color="auto" w:sz="0" w:space="0"/>
          <w:shd w:val="clear" w:fill="FFFFFF"/>
        </w:rPr>
        <w:t>湖南省人民政府关于</w:t>
      </w:r>
    </w:p>
    <w:p w14:paraId="3DCBCAD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Style w:val="9"/>
          <w:rFonts w:hint="eastAsia" w:ascii="微软雅黑" w:hAnsi="微软雅黑" w:eastAsia="微软雅黑" w:cs="微软雅黑"/>
          <w:i w:val="0"/>
          <w:iCs w:val="0"/>
          <w:caps w:val="0"/>
          <w:color w:val="333333"/>
          <w:spacing w:val="0"/>
          <w:sz w:val="52"/>
          <w:szCs w:val="52"/>
          <w:bdr w:val="none" w:color="auto" w:sz="0" w:space="0"/>
          <w:shd w:val="clear" w:fill="FFFFFF"/>
        </w:rPr>
        <w:t>进一步推进户籍制度改革的实施意见</w:t>
      </w:r>
    </w:p>
    <w:bookmarkEnd w:id="0"/>
    <w:p w14:paraId="0B7642D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湘政发〔2015〕16号</w:t>
      </w:r>
    </w:p>
    <w:p w14:paraId="57531BC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HNPR—2015—00015</w:t>
      </w:r>
    </w:p>
    <w:p w14:paraId="6E5B3B7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14:paraId="17FEA76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各市州人民政府，省政府各厅委、各直属机构：</w:t>
      </w:r>
    </w:p>
    <w:p w14:paraId="2A94305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为促进有能力在城镇稳定就业和生活的常住人口有序实现市民化，稳步推进城镇基本公共服务常住人口全覆盖，根据《国务院关于进一步推进户籍制度改革的意见》（国发〔2014〕25号）精神，现就进一步推进我省户籍制度改革提出以下实施意见：</w:t>
      </w:r>
    </w:p>
    <w:p w14:paraId="461FC44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一、总体要求</w:t>
      </w:r>
    </w:p>
    <w:p w14:paraId="1810E9E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一）指导思想。以邓小平理论、“三个代表”重要思想、科学发展观为指导，深入贯彻落实党的十八大和十八届三中、四中全会精神，适应推进新型城镇化需要，进一步推进户籍制度改革，统筹推进新型工业化、信息化、新型城镇化和农业现代化同步发展，推动大中小城市和小城镇协调发展、产业和城镇融合发展。统筹推进户籍制度改革和相关经济社会领域改革，合理引导农业人口有序向城镇转移，有序推进农业转移人口市民化。</w:t>
      </w:r>
    </w:p>
    <w:p w14:paraId="6A4AF4E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二）基本原则。积极稳妥、规范有序。立足基本省情，积极稳妥推进，合理引导农业转移人口落户城镇的预期和选择。因地制宜、能放尽放。综合考虑当地经济社会发展水平、城市综合承载能力和提供基本公共服务的能力，实施差别化落户政策。以人为本、尊重群众意愿。尊重城乡居民自主定居意愿，依法保障农业转移人口及其他常住人口合法权益，不得采取强迫做法办理落户。统筹配套、提供基本保障。统筹推进户籍制度改革和基本公共服务均等化，不断扩大教育、就业、医疗、文化、养老、住房保障等城镇基本公共服务覆盖面。</w:t>
      </w:r>
    </w:p>
    <w:p w14:paraId="5A6B789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三）改革目标。统一城乡户口登记制度，进一步调整户口迁移政策，大力实施居住证制度，建立健全实际居住人口登记制度，健全完善我省人口基础信息库。推进义务教育、就业服务、基本养老、基本医疗卫生、计划生育、公共文化、住房保障等城镇基本公共服务覆盖全部常住人口。到2020年，基本建立与全面建成小康社会相适应，依法保障公民权利，有效支撑社会管理和公共服务，以人为本、科学高效、规范有序的新型户籍制度。</w:t>
      </w:r>
    </w:p>
    <w:p w14:paraId="7668E39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二、建立城乡统一的户口登记制度</w:t>
      </w:r>
    </w:p>
    <w:p w14:paraId="503FE3F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取消农业户口与非农业户口性质区分，统一登记为居民户口，体现户籍制度的人口登记管理功能。公安机关户口登记不再标注户口性质，不再依据户口性质统计农业人口与非农业人口，改为根据户口登记地的城乡地域属性划分统计城镇户籍人口和农村户籍人口。抓紧建立与统一城乡户口登记制度相适应的教育、就业、卫生计生、社保、住房、土地、人口统计等相关制度，完善现阶段区分城乡政策待遇适用对象的具体办法，逐步消除城乡待遇差别，确保相关政策制度平稳衔接过渡。</w:t>
      </w:r>
    </w:p>
    <w:p w14:paraId="04EE8F0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三、进一步调整户口迁移政策</w:t>
      </w:r>
    </w:p>
    <w:p w14:paraId="237C777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一）全面有序放开中等及以下城市落户限制。在城区人口50万以下的地级市、县级市市区、县人民政府驻地镇和其他建制镇有合法稳定住所（含租赁）的人员，本人及其共同居住生活的配偶、未婚子女、父母等，可以在当地申请登记常住户口。在城区人口50万至100万的城市合法稳定就业并有合法稳定住所（含租赁），同时按照国家规定在当地参加城镇社会保险的人员，本人及其共同居住生活的配偶、未婚子女、父母等，可以在当地申请登记常住户口。城市综合承载能力压力小的中等城市，也可以制定与小城市和建制镇一样的落户政策。</w:t>
      </w:r>
    </w:p>
    <w:p w14:paraId="2AC8B1B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二）合理确定大城市落户条件。在城区人口100万至300万的城市合法稳定就业达到一定年限并有合法稳定住所（含租赁），同时按照国家规定在当地参加城镇社会保险达到一定年限的人员，本人及其共同居住生活的配偶、未婚子女、父母等，可以在当地申请登记常住户口。城区人口超过300万的城市，可以对合法稳定就业的范围、年限和合法稳定住所（含租赁）的范围、条件等作出较严格的规定，也可结合本地实际，建立积分落户制度。大城市对合法稳定就业年限及参加城镇社会保险年限的要求不得超过3年。</w:t>
      </w:r>
    </w:p>
    <w:p w14:paraId="216515E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三）放宽长株潭三市间的迁移落户条件。大力促进长株潭城市群发展，逐步消除长沙、株洲、湘潭三市间的户籍差异。户籍在长沙、株洲、湘潭三市市辖区范围内的居民，在三市中的任一市市辖区只要有合法稳定就业和合法稳定住所（含租赁）并参加城镇社会保险，就可以申请迁入其本人及其共同居住生活的配偶、未婚子女、父母的户口。</w:t>
      </w:r>
    </w:p>
    <w:p w14:paraId="6F0DBAB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四、加强人口管理和服务</w:t>
      </w:r>
    </w:p>
    <w:p w14:paraId="70A3EAD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一）妥善解决户口登记中的重点问题。加强出生登记工作，摸清无户口人员底数及主要原因，分类解决无户口人员落户问题，切实保障公民登记户口的合法权益。新生儿户口登记不受附加条件限制，公安机关对于不能提供生育证或社会抚养费征收票据等计生证明的未落户人员，应当依法为其办理户口登记，再按有关规定通报当地卫生计生部门。做好死亡人员户口注销工作，加强死亡医学证明等信息共享，全面排查应销未销户口人员信息，依法依规予以注销，确保人口信息数据准确。积极采取措施，重点解决进城时间长、就业能力强、可以适应城镇产业转型升级和市场竞争环境的人员落户问题。不断提高高校和职业院校毕业生、取得专业技术资格人员、技术工人、留学回国人员、获荣誉称号人员、优秀农民工等常住人口的城镇落户率。</w:t>
      </w:r>
    </w:p>
    <w:p w14:paraId="602724A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二）继续大力实施居住证制度。以居住证为载体，健全完善基本公共服务提供机制。积极创造条件，不断扩大向居住证持有人提供公共服务的范围，确定并公布具体服务内容。居住证持有人享有与当地户籍人口同等的劳动就业、基本公共教育、基本医疗卫生服务、计划生育服务、公共文化服务、证照办理服务等权利；逐步享有与当地户籍人口同等的中等职业教育资助、就业扶持、住房保障、养老服务、社会福利、社会救助等权利；结合随迁子女在当地连续就学年限等情况，享有随迁子女在当地参加中考和高考的资格。按照权责对等的原则，居住证持有人应当履行服兵役和参加民兵组织等国家和地方规定的公民义务。</w:t>
      </w:r>
    </w:p>
    <w:p w14:paraId="34D40E2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三）健全完善人口信息管理制度。建立健全实际居住人口登记制度，全面开展实有人口、实有房屋基础信息采集，加强和完善人口统计调查，全面、准确掌握人口规模、人员结构、地区分布等情况。公安机关统筹加快全省统一的以公民身份号码为唯一标识的人口基础信息库建设，各有关部门分类完善劳动就业、教育、收入、社保、房产、信用、卫生计生、税务、婚姻、民族等信息系统，加速推进跨部门、跨地区信息整合、共享及应用工作，为制定国民经济和社会发展规划、人口发展战略和政策提供信息支持，为人口服务和管理提供支撑。同时，继续加强信息安全管理，确保信息数据安全。</w:t>
      </w:r>
    </w:p>
    <w:p w14:paraId="093D8A5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五、保障农业转移人口及其他常住人口合法权益</w:t>
      </w:r>
    </w:p>
    <w:p w14:paraId="2FBB022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一）改革完善农村产权制度。加快推进农村土地确权、登记、颁证，依法保障农民的土地承包经营权、宅基地使用权。推进农村集体经济组织产权制度改革，积极探索农村集体经济组织成员资格认定办法和集体经济有效实现形式，保护成员的集体财产权和收益分配权。建立完善农村产权流转交易市场，推动农村产权流转交易公开、公正、规范运行。坚持依法、自愿、有偿的原则，引导农业转移人口有序流转土地承包经营权。探索开展在进城落户农民自愿的前提下有偿退出“三权”（土地承包经营权、宅基地使用权、集体收益分配权）试点。现阶段，不得以退出“三权”作为农民进城落户的条件。</w:t>
      </w:r>
    </w:p>
    <w:p w14:paraId="3A3D048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二）扩大基本公共服务覆盖面。保障农业转移人口及其他常住人口随迁子女平等享有受教育权利；将随迁子女义务教育纳入各级政府教育发展规划和财政保障范畴；贯彻落实好随迁子女在流入地接受中等职业教育免学费和普惠性学前教育的政策以及接受义务教育后参加各层次升学考试的实施办法。完善就业失业登记管理制度，面向农业转移人口全面提供政府补贴职业技能培训服务，加大创业扶持力度，完善扶持创业的优惠政策，促进农村转移劳动力就业。将农业转移人口及其他常住人口纳入社区卫生和计划生育服务体系，提供基本医疗卫生服务。把进城落户农民完全纳入城镇社会保障体系，在农村参加的养老保险和医疗保险规范接入城镇社会保障体系，完善并落实医疗保险关系转移接续办法和异地就医结算办法，整合城乡居民基本医疗保险制度，加快实施统一的城乡医疗救助制度。加快实施统一的城乡居民基本养老保险制度，落实城镇职工基本养老保险关系转移接续政策。加快建立覆盖城乡的社会养老服务体系，促进基本养老服务均等化。完善以低保制度为核心的社会救助体系，推进城乡社会救助统筹发展。把进城落户农民中符合住房保障条件的完全纳入城镇住房保障体系，采取多种方式保障农业转移人口基本住房需求。</w:t>
      </w:r>
    </w:p>
    <w:p w14:paraId="4224BED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三）加强基本公共服务财力保障。完善基本公共服务供给机制，合理划分各级政府基本公共服务供给事权和支出责任。完善省对市、县财政转移支付制度，逐步建立财政转移支付同农业转移人口市民化挂钩机制。加大财力均衡力度，提高市、县政府提供基本公共服务的能力。</w:t>
      </w:r>
    </w:p>
    <w:p w14:paraId="22DE19B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六、工作要求</w:t>
      </w:r>
    </w:p>
    <w:p w14:paraId="1FF4B26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一）加强组织领导。户籍制度改革是一项基础性改革，事关人民群众切身利益，事关新型城镇化发展。各地各有关部门要充分认识户籍制度改革的重大意义，进一步统一思想，加强领导，按照省委、省人民政府关于新型城镇化建设的总体部署，切实抓好户籍制度改革各项政策措施的贯彻落实。各地要建立由政府主要领导牵头，公安、发改、人力资源社会保障、财政、教育、民政、国土资源、住房城乡建设、农业、林业、卫生计生、统计、法制等部门负责同志为成员的联络协调机制及相应办事机构，统筹推进户籍制度改革工作。</w:t>
      </w:r>
    </w:p>
    <w:p w14:paraId="679A2F2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二）落实政策措施。各市州人民政府要根据本实施意见要求，统筹考虑，因地制宜，抓紧制订出台本市州总体安排和具体工作方案，并认真组织实施。省公安厅、省发改委、省人力资源社会保障厅、省财政厅、省教育厅、省民政厅、省国土资源厅、省住房城乡建设厅、省农委、省林业厅、省卫生计生委、省统计局、省政府法制办等部门要按照职能分工，抓紧制定出台本部门贯彻落实本实施意见的具体措施及配套方案，落实经费，确保户籍制度改革取得实效。省公安厅、省发改委、省人力资源社会保障厅要会同有关部门对各地实施户籍制度改革工作加强跟踪评估、督查指导。省公安厅及各地公安机关要依法加强户籍管理和居民身份证管理，做好户籍制度改革的基础工作。</w:t>
      </w:r>
    </w:p>
    <w:p w14:paraId="13435D4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三）做好宣传引导。各地要通过多种渠道深入宣传进一步推进户籍制度改革的重大意义，准确解读户籍制度改革主要内容及相关配套政策。大力宣传各地在解决农业转移人口及其他常住人口落户城镇、保障合法权益、提供基本公共服务等方面的好经验、好做法，密切关注并合理引导社会预期，回应群众关切，凝聚各方共识，形成改革合力，营造全社会支持、理解、参与户籍制度改革的良好氛围和社会环境。</w:t>
      </w:r>
    </w:p>
    <w:p w14:paraId="6F57194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附件：进一步推进户籍制度改革重点任务分工表</w:t>
      </w:r>
    </w:p>
    <w:p w14:paraId="2B52BA4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湖南省人民政府   </w:t>
      </w:r>
    </w:p>
    <w:p w14:paraId="45DCF41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2015年5月11日 </w:t>
      </w:r>
    </w:p>
    <w:p w14:paraId="78FAA38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w:t>
      </w:r>
    </w:p>
    <w:p w14:paraId="7DE0D63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4"/>
          <w:szCs w:val="24"/>
        </w:rPr>
      </w:pPr>
      <w:r>
        <w:rPr>
          <w:rFonts w:ascii="黑体" w:hAnsi="宋体" w:eastAsia="黑体" w:cs="黑体"/>
          <w:i w:val="0"/>
          <w:iCs w:val="0"/>
          <w:caps w:val="0"/>
          <w:color w:val="333333"/>
          <w:spacing w:val="0"/>
          <w:sz w:val="32"/>
          <w:szCs w:val="32"/>
          <w:bdr w:val="none" w:color="auto" w:sz="0" w:space="0"/>
          <w:shd w:val="clear" w:fill="FFFFFF"/>
        </w:rPr>
        <w:t>附件</w:t>
      </w:r>
    </w:p>
    <w:p w14:paraId="0786812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sz w:val="32"/>
          <w:szCs w:val="32"/>
          <w:bdr w:val="none" w:color="auto" w:sz="0" w:space="0"/>
          <w:shd w:val="clear" w:fill="FFFFFF"/>
          <w:lang w:val="en-US"/>
        </w:rPr>
        <w:t> </w:t>
      </w:r>
    </w:p>
    <w:p w14:paraId="4DA15E7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b/>
          <w:bCs/>
          <w:i w:val="0"/>
          <w:iCs w:val="0"/>
          <w:caps w:val="0"/>
          <w:color w:val="333333"/>
          <w:spacing w:val="0"/>
          <w:sz w:val="48"/>
          <w:szCs w:val="48"/>
          <w:bdr w:val="none" w:color="auto" w:sz="0" w:space="0"/>
          <w:shd w:val="clear" w:fill="FFFFFF"/>
        </w:rPr>
        <w:t>进一步推进户籍制度改革重点任务分工表</w:t>
      </w:r>
    </w:p>
    <w:tbl>
      <w:tblPr>
        <w:tblW w:w="8938"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04"/>
        <w:gridCol w:w="5188"/>
        <w:gridCol w:w="2946"/>
      </w:tblGrid>
      <w:tr w14:paraId="56AE192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3" w:hRule="atLeast"/>
        </w:trPr>
        <w:tc>
          <w:tcPr>
            <w:tcW w:w="80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5B96370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楷体_GB2312" w:hAnsi="微软雅黑" w:eastAsia="楷体_GB2312" w:cs="楷体_GB2312"/>
                <w:i w:val="0"/>
                <w:iCs w:val="0"/>
                <w:caps w:val="0"/>
                <w:color w:val="000000"/>
                <w:spacing w:val="-20"/>
                <w:sz w:val="21"/>
                <w:szCs w:val="21"/>
                <w:bdr w:val="none" w:color="auto" w:sz="0" w:space="0"/>
              </w:rPr>
              <w:t>序号</w:t>
            </w:r>
          </w:p>
        </w:tc>
        <w:tc>
          <w:tcPr>
            <w:tcW w:w="518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5A0743A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楷体_GB2312" w:hAnsi="微软雅黑" w:eastAsia="楷体_GB2312" w:cs="楷体_GB2312"/>
                <w:i w:val="0"/>
                <w:iCs w:val="0"/>
                <w:caps w:val="0"/>
                <w:color w:val="000000"/>
                <w:spacing w:val="0"/>
                <w:sz w:val="21"/>
                <w:szCs w:val="21"/>
                <w:bdr w:val="none" w:color="auto" w:sz="0" w:space="0"/>
              </w:rPr>
              <w:t>重点任务</w:t>
            </w:r>
          </w:p>
        </w:tc>
        <w:tc>
          <w:tcPr>
            <w:tcW w:w="294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07C8473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楷体_GB2312" w:hAnsi="微软雅黑" w:eastAsia="楷体_GB2312" w:cs="楷体_GB2312"/>
                <w:i w:val="0"/>
                <w:iCs w:val="0"/>
                <w:caps w:val="0"/>
                <w:color w:val="000000"/>
                <w:spacing w:val="0"/>
                <w:sz w:val="21"/>
                <w:szCs w:val="21"/>
                <w:bdr w:val="none" w:color="auto" w:sz="0" w:space="0"/>
              </w:rPr>
              <w:t>负责部门</w:t>
            </w:r>
          </w:p>
        </w:tc>
      </w:tr>
      <w:tr w14:paraId="60AE257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74"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E323C1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5929F3F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到</w:t>
            </w:r>
            <w:r>
              <w:rPr>
                <w:rFonts w:hint="default" w:ascii="Times New Roman" w:hAnsi="Times New Roman" w:eastAsia="微软雅黑" w:cs="Times New Roman"/>
                <w:i w:val="0"/>
                <w:iCs w:val="0"/>
                <w:caps w:val="0"/>
                <w:color w:val="000000"/>
                <w:spacing w:val="0"/>
                <w:sz w:val="21"/>
                <w:szCs w:val="21"/>
                <w:bdr w:val="none" w:color="auto" w:sz="0" w:space="0"/>
                <w:lang w:val="en-US"/>
              </w:rPr>
              <w:t>2020</w:t>
            </w:r>
            <w:r>
              <w:rPr>
                <w:rFonts w:hint="default" w:ascii="楷体_GB2312" w:hAnsi="微软雅黑" w:eastAsia="楷体_GB2312" w:cs="楷体_GB2312"/>
                <w:i w:val="0"/>
                <w:iCs w:val="0"/>
                <w:caps w:val="0"/>
                <w:color w:val="000000"/>
                <w:spacing w:val="0"/>
                <w:sz w:val="21"/>
                <w:szCs w:val="21"/>
                <w:bdr w:val="none" w:color="auto" w:sz="0" w:space="0"/>
              </w:rPr>
              <w:t>年，基本建立与全面建成小康社会相适应，依法保障公民权利，有效支撑社会管理和公共服务，以人为本、科学高效、规范有序的新型户籍制度。</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0B4FDEF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省公安厅、省发改委、省人力资源社会保障厅等。除明确各部门分别负责的工作外，列第一位者为牵头部门，下同。</w:t>
            </w:r>
          </w:p>
        </w:tc>
      </w:tr>
      <w:tr w14:paraId="02A7BC4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274"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E89392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2</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1E0E130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取消农业户口与非农业户口性质区分，统一登记为居民户口，体现户籍制度的人口登记管理功能。公安机关户口登记不再标注户口性质，不再依据户口性质统计农业人口与非农业人口，改为根据户口登记地的城乡地域属性划分统计城镇户籍人口和农村户籍人口。</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26EE7B7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省公安厅。</w:t>
            </w:r>
          </w:p>
        </w:tc>
      </w:tr>
      <w:tr w14:paraId="04240FB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74"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5511CB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3</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55B0102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抓紧建立与统一城乡户口登记制度相适应的教育、卫生计生、就业、社保、住房、土地、人口统计等相关制度，完善现阶段区分城乡政策待遇适用对象的具体办法，逐步消除城乡待遇差别，确保相关政策制度平稳衔接过渡。</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71E2BDF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省发改委、省教育厅、省卫生计生委、省人力资源社会保障厅、省民政厅、省住房城乡建设厅、省农委、省国土资源厅、省林业厅、省统计局等分别负责。</w:t>
            </w:r>
          </w:p>
        </w:tc>
      </w:tr>
      <w:tr w14:paraId="4394CF5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274"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2E51A0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4</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086BFF2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在城区人口</w:t>
            </w:r>
            <w:r>
              <w:rPr>
                <w:rFonts w:hint="default" w:ascii="Times New Roman" w:hAnsi="Times New Roman" w:eastAsia="微软雅黑" w:cs="Times New Roman"/>
                <w:i w:val="0"/>
                <w:iCs w:val="0"/>
                <w:caps w:val="0"/>
                <w:color w:val="000000"/>
                <w:spacing w:val="0"/>
                <w:sz w:val="21"/>
                <w:szCs w:val="21"/>
                <w:bdr w:val="none" w:color="auto" w:sz="0" w:space="0"/>
                <w:lang w:val="en-US"/>
              </w:rPr>
              <w:t>50</w:t>
            </w:r>
            <w:r>
              <w:rPr>
                <w:rFonts w:hint="default" w:ascii="楷体_GB2312" w:hAnsi="微软雅黑" w:eastAsia="楷体_GB2312" w:cs="楷体_GB2312"/>
                <w:i w:val="0"/>
                <w:iCs w:val="0"/>
                <w:caps w:val="0"/>
                <w:color w:val="000000"/>
                <w:spacing w:val="0"/>
                <w:sz w:val="21"/>
                <w:szCs w:val="21"/>
                <w:bdr w:val="none" w:color="auto" w:sz="0" w:space="0"/>
              </w:rPr>
              <w:t>万以下的地级市、县级市市区、县人民政府驻地镇和其他建制镇有合法稳定住所（含租赁）的人员，本人及其共同居住生活的配偶、未婚子女、父母等，可以在当地申请登记常住户口。</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4AD9DD7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省公安厅、省发改委等。</w:t>
            </w:r>
          </w:p>
        </w:tc>
      </w:tr>
      <w:tr w14:paraId="32CFF3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2943"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AA7306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5</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4EA0954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在城区人口</w:t>
            </w:r>
            <w:r>
              <w:rPr>
                <w:rFonts w:hint="default" w:ascii="Times New Roman" w:hAnsi="Times New Roman" w:eastAsia="微软雅黑" w:cs="Times New Roman"/>
                <w:i w:val="0"/>
                <w:iCs w:val="0"/>
                <w:caps w:val="0"/>
                <w:color w:val="000000"/>
                <w:spacing w:val="0"/>
                <w:sz w:val="21"/>
                <w:szCs w:val="21"/>
                <w:bdr w:val="none" w:color="auto" w:sz="0" w:space="0"/>
                <w:lang w:val="en-US"/>
              </w:rPr>
              <w:t>50</w:t>
            </w:r>
            <w:r>
              <w:rPr>
                <w:rFonts w:hint="default" w:ascii="楷体_GB2312" w:hAnsi="微软雅黑" w:eastAsia="楷体_GB2312" w:cs="楷体_GB2312"/>
                <w:i w:val="0"/>
                <w:iCs w:val="0"/>
                <w:caps w:val="0"/>
                <w:color w:val="000000"/>
                <w:spacing w:val="0"/>
                <w:sz w:val="21"/>
                <w:szCs w:val="21"/>
                <w:bdr w:val="none" w:color="auto" w:sz="0" w:space="0"/>
              </w:rPr>
              <w:t>万至</w:t>
            </w:r>
            <w:r>
              <w:rPr>
                <w:rFonts w:hint="default" w:ascii="Times New Roman" w:hAnsi="Times New Roman" w:eastAsia="微软雅黑" w:cs="Times New Roman"/>
                <w:i w:val="0"/>
                <w:iCs w:val="0"/>
                <w:caps w:val="0"/>
                <w:color w:val="000000"/>
                <w:spacing w:val="0"/>
                <w:sz w:val="21"/>
                <w:szCs w:val="21"/>
                <w:bdr w:val="none" w:color="auto" w:sz="0" w:space="0"/>
                <w:lang w:val="en-US"/>
              </w:rPr>
              <w:t>100</w:t>
            </w:r>
            <w:r>
              <w:rPr>
                <w:rFonts w:hint="default" w:ascii="楷体_GB2312" w:hAnsi="微软雅黑" w:eastAsia="楷体_GB2312" w:cs="楷体_GB2312"/>
                <w:i w:val="0"/>
                <w:iCs w:val="0"/>
                <w:caps w:val="0"/>
                <w:color w:val="000000"/>
                <w:spacing w:val="0"/>
                <w:sz w:val="21"/>
                <w:szCs w:val="21"/>
                <w:bdr w:val="none" w:color="auto" w:sz="0" w:space="0"/>
              </w:rPr>
              <w:t>万的城市合法稳定就业并有合法稳定住所（含租赁），同时按照国家规定在当地参加城镇社会保险的人员，本人及其共同居住生活的配偶、未婚子女、父母等，可以在当地申请登记常住户口。在城区人口</w:t>
            </w:r>
            <w:r>
              <w:rPr>
                <w:rFonts w:hint="default" w:ascii="Times New Roman" w:hAnsi="Times New Roman" w:eastAsia="微软雅黑" w:cs="Times New Roman"/>
                <w:i w:val="0"/>
                <w:iCs w:val="0"/>
                <w:caps w:val="0"/>
                <w:color w:val="000000"/>
                <w:spacing w:val="0"/>
                <w:sz w:val="21"/>
                <w:szCs w:val="21"/>
                <w:bdr w:val="none" w:color="auto" w:sz="0" w:space="0"/>
                <w:lang w:val="en-US"/>
              </w:rPr>
              <w:t>100</w:t>
            </w:r>
            <w:r>
              <w:rPr>
                <w:rFonts w:hint="default" w:ascii="楷体_GB2312" w:hAnsi="微软雅黑" w:eastAsia="楷体_GB2312" w:cs="楷体_GB2312"/>
                <w:i w:val="0"/>
                <w:iCs w:val="0"/>
                <w:caps w:val="0"/>
                <w:color w:val="000000"/>
                <w:spacing w:val="0"/>
                <w:sz w:val="21"/>
                <w:szCs w:val="21"/>
                <w:bdr w:val="none" w:color="auto" w:sz="0" w:space="0"/>
              </w:rPr>
              <w:t>万至</w:t>
            </w:r>
            <w:r>
              <w:rPr>
                <w:rFonts w:hint="default" w:ascii="Times New Roman" w:hAnsi="Times New Roman" w:eastAsia="微软雅黑" w:cs="Times New Roman"/>
                <w:i w:val="0"/>
                <w:iCs w:val="0"/>
                <w:caps w:val="0"/>
                <w:color w:val="000000"/>
                <w:spacing w:val="0"/>
                <w:sz w:val="21"/>
                <w:szCs w:val="21"/>
                <w:bdr w:val="none" w:color="auto" w:sz="0" w:space="0"/>
                <w:lang w:val="en-US"/>
              </w:rPr>
              <w:t>300</w:t>
            </w:r>
            <w:r>
              <w:rPr>
                <w:rFonts w:hint="default" w:ascii="楷体_GB2312" w:hAnsi="微软雅黑" w:eastAsia="楷体_GB2312" w:cs="楷体_GB2312"/>
                <w:i w:val="0"/>
                <w:iCs w:val="0"/>
                <w:caps w:val="0"/>
                <w:color w:val="000000"/>
                <w:spacing w:val="0"/>
                <w:sz w:val="21"/>
                <w:szCs w:val="21"/>
                <w:bdr w:val="none" w:color="auto" w:sz="0" w:space="0"/>
              </w:rPr>
              <w:t>万的城市合法稳定就业达到一定年限并有合法稳定住所（含租赁），同时按照国家规定在当地参加城镇社会保险达到一定年限的人员，本人及其共同居住生活的配偶、未婚子女、父母等，可以在当地申请登记常住户口。城区人口超过</w:t>
            </w:r>
            <w:r>
              <w:rPr>
                <w:rFonts w:hint="default" w:ascii="Times New Roman" w:hAnsi="Times New Roman" w:eastAsia="微软雅黑" w:cs="Times New Roman"/>
                <w:i w:val="0"/>
                <w:iCs w:val="0"/>
                <w:caps w:val="0"/>
                <w:color w:val="000000"/>
                <w:spacing w:val="0"/>
                <w:sz w:val="21"/>
                <w:szCs w:val="21"/>
                <w:bdr w:val="none" w:color="auto" w:sz="0" w:space="0"/>
                <w:lang w:val="en-US"/>
              </w:rPr>
              <w:t>300</w:t>
            </w:r>
            <w:r>
              <w:rPr>
                <w:rFonts w:hint="default" w:ascii="楷体_GB2312" w:hAnsi="微软雅黑" w:eastAsia="楷体_GB2312" w:cs="楷体_GB2312"/>
                <w:i w:val="0"/>
                <w:iCs w:val="0"/>
                <w:caps w:val="0"/>
                <w:color w:val="000000"/>
                <w:spacing w:val="0"/>
                <w:sz w:val="21"/>
                <w:szCs w:val="21"/>
                <w:bdr w:val="none" w:color="auto" w:sz="0" w:space="0"/>
              </w:rPr>
              <w:t>万的城市，可以对合法稳定就业的范围、年限和合法稳定住所（含租赁）的范围、条件等作出较严格的规定，也可结合本地实际，建立积分落户制度。</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5C1E485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省公安厅、省发改委、省人力资源社会保障厅等。</w:t>
            </w:r>
          </w:p>
        </w:tc>
      </w:tr>
      <w:tr w14:paraId="7687C00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92"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A0A0E6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6</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2A68E29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放宽长株潭三市间的迁移落户条件。大力促进长株潭城市群发展，逐步消除长沙、株洲、湘潭三市间的户籍差异。户籍在长沙、株洲、湘潭三市市辖区范围内的居民，在三市中的任一市市辖区只要有合法稳定就业和合法稳定住所（含租赁）并参加城镇社会保险，就可以申请迁入其本人及其共同居住生活的配偶、未婚子女、父母的户口。</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448BD0A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长沙市、株洲市、湘潭市人民政府，省公安厅、省发改委、省人力资源社会保障厅等。</w:t>
            </w:r>
          </w:p>
        </w:tc>
      </w:tr>
      <w:tr w14:paraId="530C4BD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109"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C08976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7</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73F8011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加强出生登记工作，摸清无户口人员底数及主要原因，分类解决无户口人员落户问题，切实保障公民登记户口的合法权益。新生儿户口登记不受附加条件限制，公安机关对于不能提供生育证或社会抚养费征收票据等计生证明的未落户人员，应当依法为其办理户口登记，再按有关规定通报当地卫生计生部门。做好死亡人员户口注销工作，加强死亡医学证明等信息共享，全面排查应销未销户口人员信息，依法依规予以注销，确保人口信息数据准确。</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0A090CF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省公安厅、省卫生计生委等。</w:t>
            </w:r>
          </w:p>
        </w:tc>
      </w:tr>
      <w:tr w14:paraId="7A9C346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857"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07960F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8</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0D8036D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积极采取措施，重点解决进城时间长、就业能力强、可以适应城镇产业转型升级和市场竞争环境的人员落户问题。</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50156E0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省人力资源社会保障厅、省公安厅等。</w:t>
            </w:r>
          </w:p>
        </w:tc>
      </w:tr>
      <w:tr w14:paraId="6FC4572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40"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A6EDD0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9</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4D7B76A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不断提高高校和职业院校毕业生、取得专业技术资格人员、技术工人、留学回国人员、获荣誉称号人员、优秀农民工等常住人口的城镇落户率。</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38A9ACB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省人力资源社会保障厅、省教育厅、省公安厅等。</w:t>
            </w:r>
          </w:p>
        </w:tc>
      </w:tr>
      <w:tr w14:paraId="7E23327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2526"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463309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10</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5DA0EFB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以居住证为载体，健全完善基本公共服务提供机制。积极创造条件，不断扩大向居住证持有人提供公共服务的范围，确定并公布具体服务内容。居住证持有人享有与当地户籍人口同等的劳动就业、基本公共教育、基本医疗卫生服务、计划生育服务、公共文化服务、证照办理服务等权利；逐步享有与当地户籍人口同等的中等职业教育资助、就业扶持、住房保障、养老服务、社会福利、社会救助等权利；结合随迁子女在当地连续就学年限等情况，享有随迁子女在当地参加中考和高考的资格。</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0B0912C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省发改委、省教育厅、省公安厅、省民政厅、省人力资源社会保障厅、省住房城乡建设厅、省文化厅、省卫生计生委等分别负责。</w:t>
            </w:r>
          </w:p>
        </w:tc>
      </w:tr>
      <w:tr w14:paraId="53FC0E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857"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2DFEBE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11</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29B8476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建立健全实际居住人口登记制度，全面开展实有人口、实有房屋基础信息采集，加强和完善人口统计调查，全面、准确掌握人口规模、人员结构、地区分布等情况。</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7F5C5DA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省公安厅、省统计局、省发改委等。</w:t>
            </w:r>
          </w:p>
        </w:tc>
      </w:tr>
      <w:tr w14:paraId="6CDC1F7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57"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7F728B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12</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6AF2909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公安机关统筹加快全省统一的以公民身份号码为唯一标识的人口基础信息库建设。</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617B92F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省公安厅、省发改委、省人力资源社会保障厅、省卫生计生委、省统计局等。</w:t>
            </w:r>
          </w:p>
        </w:tc>
      </w:tr>
      <w:tr w14:paraId="505A133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92"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FAB43F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13</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70E3F23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各有关部门分类完善劳动就业、教育、收入、社保、房产、信用、卫生计生、税务、婚姻、民族等信息系统，加速推进跨部门、跨地区信息整合、共享及应用工作，为制定国民经济和社会发展规划、人口发展战略和政策提供信息支持，为人口服务和管理提供支撑。同时，继续加强信息安全管理，确保信息数据安全。</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7572E05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发改委、省教育厅、省经信委、省民宗委、省公安厅、省民政厅、省财政厅、省人力资源社会保障厅、省国土资源厅、省住房城乡建设厅、省卫生计生委、人民银行长沙中心支行、省国税局、省地税局等分别负责。</w:t>
            </w:r>
          </w:p>
        </w:tc>
      </w:tr>
      <w:tr w14:paraId="3C740CB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6"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B437FE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14</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56B9753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加快推进农村土地确权、登记、颁证，依法保障农民的土地承包经营权、宅基地使用权。</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4D3BDB2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省国土资源厅、省农委、省林业厅等分别负责。</w:t>
            </w:r>
          </w:p>
        </w:tc>
      </w:tr>
      <w:tr w14:paraId="4E37140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950"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7BAB60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15</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5A8D557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推进农村集体经济组织产权制度改革，积极探索农村集体经济组织成员资格认定办法和集体经济有效实现形式，保护成员的集体财产权和收益分配权。</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56DEA40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省农委、省林业厅等分别负责。</w:t>
            </w:r>
          </w:p>
        </w:tc>
      </w:tr>
      <w:tr w14:paraId="5A85C5E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877"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163544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16</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5DF3AA0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建立完善农村产权流转交易市场，推动农村产权流转交易公开、公正、规范运行。坚持依法、自愿、有偿的原则，引导农业转移人口有序流转土地承包经营权。探索开展在进城落户农民自愿的前提下有偿退出</w:t>
            </w:r>
            <w:r>
              <w:rPr>
                <w:rFonts w:hint="default" w:ascii="Times New Roman" w:hAnsi="Times New Roman" w:eastAsia="微软雅黑" w:cs="Times New Roman"/>
                <w:i w:val="0"/>
                <w:iCs w:val="0"/>
                <w:caps w:val="0"/>
                <w:color w:val="000000"/>
                <w:spacing w:val="0"/>
                <w:sz w:val="21"/>
                <w:szCs w:val="21"/>
                <w:bdr w:val="none" w:color="auto" w:sz="0" w:space="0"/>
                <w:lang w:val="en-US"/>
              </w:rPr>
              <w:t>“</w:t>
            </w:r>
            <w:r>
              <w:rPr>
                <w:rFonts w:hint="default" w:ascii="楷体_GB2312" w:hAnsi="微软雅黑" w:eastAsia="楷体_GB2312" w:cs="楷体_GB2312"/>
                <w:i w:val="0"/>
                <w:iCs w:val="0"/>
                <w:caps w:val="0"/>
                <w:color w:val="000000"/>
                <w:spacing w:val="0"/>
                <w:sz w:val="21"/>
                <w:szCs w:val="21"/>
                <w:bdr w:val="none" w:color="auto" w:sz="0" w:space="0"/>
              </w:rPr>
              <w:t>三权</w:t>
            </w:r>
            <w:r>
              <w:rPr>
                <w:rFonts w:hint="default" w:ascii="Times New Roman" w:hAnsi="Times New Roman" w:eastAsia="微软雅黑" w:cs="Times New Roman"/>
                <w:i w:val="0"/>
                <w:iCs w:val="0"/>
                <w:caps w:val="0"/>
                <w:color w:val="000000"/>
                <w:spacing w:val="0"/>
                <w:sz w:val="21"/>
                <w:szCs w:val="21"/>
                <w:bdr w:val="none" w:color="auto" w:sz="0" w:space="0"/>
                <w:lang w:val="en-US"/>
              </w:rPr>
              <w:t>”</w:t>
            </w:r>
            <w:r>
              <w:rPr>
                <w:rFonts w:hint="default" w:ascii="楷体_GB2312" w:hAnsi="微软雅黑" w:eastAsia="楷体_GB2312" w:cs="楷体_GB2312"/>
                <w:i w:val="0"/>
                <w:iCs w:val="0"/>
                <w:caps w:val="0"/>
                <w:color w:val="000000"/>
                <w:spacing w:val="0"/>
                <w:sz w:val="21"/>
                <w:szCs w:val="21"/>
                <w:bdr w:val="none" w:color="auto" w:sz="0" w:space="0"/>
              </w:rPr>
              <w:t>（土地承包经营权、宅基地使用权、集体收益分配权）试点。现阶段，不得以退出</w:t>
            </w:r>
            <w:r>
              <w:rPr>
                <w:rFonts w:hint="default" w:ascii="Times New Roman" w:hAnsi="Times New Roman" w:eastAsia="微软雅黑" w:cs="Times New Roman"/>
                <w:i w:val="0"/>
                <w:iCs w:val="0"/>
                <w:caps w:val="0"/>
                <w:color w:val="000000"/>
                <w:spacing w:val="0"/>
                <w:sz w:val="21"/>
                <w:szCs w:val="21"/>
                <w:bdr w:val="none" w:color="auto" w:sz="0" w:space="0"/>
                <w:lang w:val="en-US"/>
              </w:rPr>
              <w:t>“</w:t>
            </w:r>
            <w:r>
              <w:rPr>
                <w:rFonts w:hint="default" w:ascii="楷体_GB2312" w:hAnsi="微软雅黑" w:eastAsia="楷体_GB2312" w:cs="楷体_GB2312"/>
                <w:i w:val="0"/>
                <w:iCs w:val="0"/>
                <w:caps w:val="0"/>
                <w:color w:val="000000"/>
                <w:spacing w:val="0"/>
                <w:sz w:val="21"/>
                <w:szCs w:val="21"/>
                <w:bdr w:val="none" w:color="auto" w:sz="0" w:space="0"/>
              </w:rPr>
              <w:t>三权</w:t>
            </w:r>
            <w:r>
              <w:rPr>
                <w:rFonts w:hint="default" w:ascii="Times New Roman" w:hAnsi="Times New Roman" w:eastAsia="微软雅黑" w:cs="Times New Roman"/>
                <w:i w:val="0"/>
                <w:iCs w:val="0"/>
                <w:caps w:val="0"/>
                <w:color w:val="000000"/>
                <w:spacing w:val="0"/>
                <w:sz w:val="21"/>
                <w:szCs w:val="21"/>
                <w:bdr w:val="none" w:color="auto" w:sz="0" w:space="0"/>
                <w:lang w:val="en-US"/>
              </w:rPr>
              <w:t>”</w:t>
            </w:r>
            <w:r>
              <w:rPr>
                <w:rFonts w:hint="default" w:ascii="楷体_GB2312" w:hAnsi="微软雅黑" w:eastAsia="楷体_GB2312" w:cs="楷体_GB2312"/>
                <w:i w:val="0"/>
                <w:iCs w:val="0"/>
                <w:caps w:val="0"/>
                <w:color w:val="000000"/>
                <w:spacing w:val="0"/>
                <w:sz w:val="21"/>
                <w:szCs w:val="21"/>
                <w:bdr w:val="none" w:color="auto" w:sz="0" w:space="0"/>
              </w:rPr>
              <w:t>作为农民进城落户的条件。</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39E6EB9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省农委、省国土资源厅、省林业厅等。</w:t>
            </w:r>
          </w:p>
        </w:tc>
      </w:tr>
      <w:tr w14:paraId="495D35A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413"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4722DD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17</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346E6FF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保障农业转移人口及其他常住人口随迁子女平等享有受教育权利；将随迁子女义务教育纳入各级政府教育发展规划和财政保障范畴；贯彻落实好随迁子女在流入地接受中等职业教育免学费和普惠性学前教育的政策以及接受义务教育后参加各层次升学考试的实施办法。</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25F6DF6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省教育厅、省财政厅等。</w:t>
            </w:r>
          </w:p>
        </w:tc>
      </w:tr>
      <w:tr w14:paraId="4DF2BEE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50"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70D04E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18</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71722F0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完善就业失业登记管理制度，面向农业转移人口全面提供政府补贴职业技能培训服务，加大创业扶持力度，完善扶持创业的优惠政策，促进农村转移劳动力就业。</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763DE57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省人力资源社会保障厅、省发改委、省财政厅等。</w:t>
            </w:r>
          </w:p>
        </w:tc>
      </w:tr>
      <w:tr w14:paraId="5E7D53E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6"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4B6617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19</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5FDF9CD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将农业转移人口及其他常住人口纳入社区卫生和计划生育服务体系，提供基本医疗卫生服务。</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00395BC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省卫生计生委。</w:t>
            </w:r>
          </w:p>
        </w:tc>
      </w:tr>
      <w:tr w14:paraId="5F8FB71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13"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FAF9AB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20</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2371E3B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把进城落户农民完全纳入城镇社会保障体系，在农村参加的养老保险和医疗保险规范接入城镇社会保障体系，完善并落实医疗保险关系转移接续办法和异地就医结算办法，推进整合城乡居民基本医疗保险制度，加快实施统一的城乡医疗救助制度。</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3458AAE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省人力资源社会保障厅、省民政厅、省财政厅、省卫生计生委。</w:t>
            </w:r>
          </w:p>
        </w:tc>
      </w:tr>
      <w:tr w14:paraId="3942483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6"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8B6186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21</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3171693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加快实施统一的城乡居民基本养老保险制度，落实城镇职工基本养老保险关系转移接续政策。</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481D62D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省人力资源社会保障厅、省发展改革委、省财政厅等。</w:t>
            </w:r>
          </w:p>
        </w:tc>
      </w:tr>
      <w:tr w14:paraId="5C20293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40"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624273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22</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28A69A9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加快建立覆盖城乡的社会养老服务体系，促进基本养老服务均等化。</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7782396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省民政厅、省发改委、省人力资源社会保障厅等。</w:t>
            </w:r>
          </w:p>
        </w:tc>
      </w:tr>
      <w:tr w14:paraId="3B7532D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7B4D17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23</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1B5A206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完善以低保制度为核心的社会救助体系，推进城乡社会救助统筹发展。</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7F5C58C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省民政厅等。</w:t>
            </w:r>
          </w:p>
        </w:tc>
      </w:tr>
      <w:tr w14:paraId="33DF182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40"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9F4AE5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24</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72F2C6B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把进城落户农民中符合住房保障条件的完全纳入城镇住房保障体系，采取多种方式保障农业转移人口基本住房需求。</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4F463CC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省住房城乡建设厅。</w:t>
            </w:r>
          </w:p>
        </w:tc>
      </w:tr>
      <w:tr w14:paraId="2FB6E01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74"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A54D89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25</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320DB71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完善基本公共服务供给机制，合理划分各级政府基本公共服务供给事权和支出责任。完善省对市、县财政转移支付制度，逐步建立财政转移支付同农业转移人口市民化挂钩机制。加大财力均衡力度，提高市、县政府提供基本公共服务的能力。</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5C4FBF9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省财政厅、省发改委、省人力资源社会保障厅等。</w:t>
            </w:r>
          </w:p>
        </w:tc>
      </w:tr>
      <w:tr w14:paraId="5D0B797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57"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09465B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26</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19F7DD0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各市州人民政府要根据本实施意见要求，统筹考虑，因地制宜，抓紧制订出台本市州总体安排和具体工作方案，并认真组织实施。</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64BFF8D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各市州人民政府。</w:t>
            </w:r>
          </w:p>
        </w:tc>
      </w:tr>
      <w:tr w14:paraId="38464E9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92"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A1F54E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27</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669E093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公安厅、省发改委、省人力资源社会保障厅、省财政厅、省教育厅、省民政厅、省国土资源厅、省住房城乡建设厅、省农委、省林业厅、省卫生计生委、省统计局、省政府法制办等部门要按照职能分工，抓紧制定出台本部门贯彻落实本实施意见的具体措施及配套方案，落实经费，确保户籍制度改革取得实效。</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132E8FF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各相关部门分别负责。</w:t>
            </w:r>
          </w:p>
        </w:tc>
      </w:tr>
      <w:tr w14:paraId="0C9CAFE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715" w:hRule="atLeast"/>
        </w:trPr>
        <w:tc>
          <w:tcPr>
            <w:tcW w:w="80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5496AA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微软雅黑" w:cs="Times New Roman"/>
                <w:i w:val="0"/>
                <w:iCs w:val="0"/>
                <w:caps w:val="0"/>
                <w:color w:val="000000"/>
                <w:spacing w:val="0"/>
                <w:sz w:val="21"/>
                <w:szCs w:val="21"/>
                <w:bdr w:val="none" w:color="auto" w:sz="0" w:space="0"/>
                <w:lang w:val="en-US"/>
              </w:rPr>
              <w:t>28</w:t>
            </w:r>
          </w:p>
        </w:tc>
        <w:tc>
          <w:tcPr>
            <w:tcW w:w="5188" w:type="dxa"/>
            <w:tcBorders>
              <w:top w:val="nil"/>
              <w:left w:val="nil"/>
              <w:bottom w:val="single" w:color="auto" w:sz="8" w:space="0"/>
              <w:right w:val="single" w:color="auto" w:sz="8" w:space="0"/>
            </w:tcBorders>
            <w:shd w:val="clear" w:color="auto" w:fill="FFFFFF"/>
            <w:tcMar>
              <w:left w:w="108" w:type="dxa"/>
              <w:right w:w="108" w:type="dxa"/>
            </w:tcMar>
            <w:vAlign w:val="center"/>
          </w:tcPr>
          <w:p w14:paraId="525BCBA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通过多种渠道深入宣传进一步推进户籍制度改革的重大意义，准确解读户籍制度改革主要内容及相关配套政策。大力宣传各地在解决农业转移人口及其他常住人口落户城镇、保障合法权益、提供基本公共服务等方面的好经验、好做法，密切关注并合理引导社会预期，回应群众关切，凝聚各方共识，形成改革合力，营造全社会支持、理解、参与户籍制度改革的良好氛围和社会环境。</w:t>
            </w:r>
          </w:p>
        </w:tc>
        <w:tc>
          <w:tcPr>
            <w:tcW w:w="2946" w:type="dxa"/>
            <w:tcBorders>
              <w:top w:val="nil"/>
              <w:left w:val="nil"/>
              <w:bottom w:val="single" w:color="auto" w:sz="8" w:space="0"/>
              <w:right w:val="single" w:color="auto" w:sz="8" w:space="0"/>
            </w:tcBorders>
            <w:shd w:val="clear" w:color="auto" w:fill="FFFFFF"/>
            <w:tcMar>
              <w:left w:w="108" w:type="dxa"/>
              <w:right w:w="108" w:type="dxa"/>
            </w:tcMar>
            <w:vAlign w:val="center"/>
          </w:tcPr>
          <w:p w14:paraId="496568F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default" w:ascii="楷体_GB2312" w:hAnsi="微软雅黑" w:eastAsia="楷体_GB2312" w:cs="楷体_GB2312"/>
                <w:i w:val="0"/>
                <w:iCs w:val="0"/>
                <w:caps w:val="0"/>
                <w:color w:val="000000"/>
                <w:spacing w:val="0"/>
                <w:sz w:val="21"/>
                <w:szCs w:val="21"/>
                <w:bdr w:val="none" w:color="auto" w:sz="0" w:space="0"/>
              </w:rPr>
              <w:t>省委宣传部、省发改委、省公安厅、省人力资源社保障厅等。</w:t>
            </w:r>
          </w:p>
        </w:tc>
      </w:tr>
    </w:tbl>
    <w:p w14:paraId="3131A96F">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670EA"/>
    <w:rsid w:val="018D3D60"/>
    <w:rsid w:val="02FB7F22"/>
    <w:rsid w:val="038D51FF"/>
    <w:rsid w:val="062F259D"/>
    <w:rsid w:val="068E5516"/>
    <w:rsid w:val="06D174C6"/>
    <w:rsid w:val="098350DA"/>
    <w:rsid w:val="0AFB5144"/>
    <w:rsid w:val="0C61041B"/>
    <w:rsid w:val="0CA21D1B"/>
    <w:rsid w:val="0CF90BBE"/>
    <w:rsid w:val="0EC35F79"/>
    <w:rsid w:val="0F6265F7"/>
    <w:rsid w:val="10343BF8"/>
    <w:rsid w:val="147A7DA1"/>
    <w:rsid w:val="16B8213B"/>
    <w:rsid w:val="16F5513D"/>
    <w:rsid w:val="16FA2753"/>
    <w:rsid w:val="18E84F59"/>
    <w:rsid w:val="19A736E7"/>
    <w:rsid w:val="1A255BE2"/>
    <w:rsid w:val="1A393593"/>
    <w:rsid w:val="1D506AAD"/>
    <w:rsid w:val="1D57445C"/>
    <w:rsid w:val="1E472722"/>
    <w:rsid w:val="1FB77434"/>
    <w:rsid w:val="20A23C64"/>
    <w:rsid w:val="22EB5BA6"/>
    <w:rsid w:val="24941A06"/>
    <w:rsid w:val="251470D6"/>
    <w:rsid w:val="26747E2C"/>
    <w:rsid w:val="283D06F2"/>
    <w:rsid w:val="2B4D6E9E"/>
    <w:rsid w:val="2CED75B6"/>
    <w:rsid w:val="2F4607D4"/>
    <w:rsid w:val="2F8A246F"/>
    <w:rsid w:val="30466CDD"/>
    <w:rsid w:val="30536D05"/>
    <w:rsid w:val="30805FDB"/>
    <w:rsid w:val="314D19A6"/>
    <w:rsid w:val="319F5F79"/>
    <w:rsid w:val="330E33B7"/>
    <w:rsid w:val="35466E38"/>
    <w:rsid w:val="355611CB"/>
    <w:rsid w:val="386231EB"/>
    <w:rsid w:val="387D5266"/>
    <w:rsid w:val="388F0AF6"/>
    <w:rsid w:val="3A125E82"/>
    <w:rsid w:val="3BDC7DF9"/>
    <w:rsid w:val="3C2E0626"/>
    <w:rsid w:val="3E1F0B6E"/>
    <w:rsid w:val="413E130B"/>
    <w:rsid w:val="425863FC"/>
    <w:rsid w:val="43337E91"/>
    <w:rsid w:val="442E5667"/>
    <w:rsid w:val="45062140"/>
    <w:rsid w:val="46AF3D06"/>
    <w:rsid w:val="471B10BB"/>
    <w:rsid w:val="479229E6"/>
    <w:rsid w:val="47E417D6"/>
    <w:rsid w:val="485458B8"/>
    <w:rsid w:val="493A25D2"/>
    <w:rsid w:val="4CDF1BF4"/>
    <w:rsid w:val="4DAB41CC"/>
    <w:rsid w:val="4E0F4940"/>
    <w:rsid w:val="527252B8"/>
    <w:rsid w:val="533244A3"/>
    <w:rsid w:val="54DE09E3"/>
    <w:rsid w:val="554B71F7"/>
    <w:rsid w:val="55750A77"/>
    <w:rsid w:val="55942202"/>
    <w:rsid w:val="5697709C"/>
    <w:rsid w:val="5735449E"/>
    <w:rsid w:val="57490056"/>
    <w:rsid w:val="58A27F7A"/>
    <w:rsid w:val="58C223CA"/>
    <w:rsid w:val="59DD74BB"/>
    <w:rsid w:val="5B152557"/>
    <w:rsid w:val="5B5A771A"/>
    <w:rsid w:val="5DCC7F73"/>
    <w:rsid w:val="5DCD7847"/>
    <w:rsid w:val="5DD13BCE"/>
    <w:rsid w:val="5E7050CC"/>
    <w:rsid w:val="62B17737"/>
    <w:rsid w:val="64D23995"/>
    <w:rsid w:val="653D00DB"/>
    <w:rsid w:val="65905D2A"/>
    <w:rsid w:val="6671682D"/>
    <w:rsid w:val="66DD4F9F"/>
    <w:rsid w:val="67786A75"/>
    <w:rsid w:val="69A51678"/>
    <w:rsid w:val="69FF1589"/>
    <w:rsid w:val="6BFB7C75"/>
    <w:rsid w:val="6CC83FFB"/>
    <w:rsid w:val="6E557B10"/>
    <w:rsid w:val="6F906926"/>
    <w:rsid w:val="6FC565D0"/>
    <w:rsid w:val="702A0B29"/>
    <w:rsid w:val="71125845"/>
    <w:rsid w:val="727B566C"/>
    <w:rsid w:val="74B405F7"/>
    <w:rsid w:val="75C94940"/>
    <w:rsid w:val="76B4739E"/>
    <w:rsid w:val="789222E1"/>
    <w:rsid w:val="7AC73B44"/>
    <w:rsid w:val="7BAD5E27"/>
    <w:rsid w:val="7BEC1388"/>
    <w:rsid w:val="7C975798"/>
    <w:rsid w:val="7FA73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685</Words>
  <Characters>685</Characters>
  <Lines>0</Lines>
  <Paragraphs>0</Paragraphs>
  <TotalTime>27</TotalTime>
  <ScaleCrop>false</ScaleCrop>
  <LinksUpToDate>false</LinksUpToDate>
  <CharactersWithSpaces>692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2024-11-30T02:40:00Z</dcterms:created>
  <dc:creator>Administrator</dc:creator>
  <cp:lastModifiedBy>Administrator</cp:lastModifiedBy>
  <dcterms:modified xsi:type="dcterms:W3CDTF">2024-11-30T03:26:35Z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6406D7D92C7542BDAE6006979D68C265_13</vt:lpwstr>
  </property>
</Properties>
</file>