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206"/>
        </w:tabs>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 w:hAnsi="仿宋" w:eastAsia="仿宋" w:cs="仿宋"/>
          <w:sz w:val="32"/>
          <w:lang w:val="en-US" w:eastAsia="zh-CN"/>
        </w:rPr>
      </w:pPr>
      <w:bookmarkStart w:id="0" w:name="_GoBack"/>
      <w:r>
        <w:rPr>
          <w:rFonts w:hint="eastAsia" w:ascii="仿宋" w:hAnsi="仿宋" w:eastAsia="仿宋" w:cs="仿宋"/>
          <w:sz w:val="32"/>
          <w:lang w:val="en-US" w:eastAsia="zh-CN"/>
        </w:rPr>
        <w:t>HNPR-2024-11009</w:t>
      </w:r>
    </w:p>
    <w:bookmarkEnd w:id="0"/>
    <w:p>
      <w:pPr>
        <w:pStyle w:val="2"/>
        <w:rPr>
          <w:rFonts w:hint="eastAsia" w:cs="Times New Roman"/>
          <w:sz w:val="32"/>
          <w:lang w:val="en-US" w:eastAsia="zh-CN"/>
        </w:rPr>
      </w:pPr>
    </w:p>
    <w:p>
      <w:pPr>
        <w:pStyle w:val="2"/>
        <w:rPr>
          <w:rFonts w:hint="eastAsia" w:cs="Times New Roman"/>
          <w:sz w:val="32"/>
          <w:lang w:val="en-US" w:eastAsia="zh-CN"/>
        </w:rPr>
      </w:pPr>
    </w:p>
    <w:p>
      <w:pPr>
        <w:rPr>
          <w:rFonts w:hint="default" w:ascii="Times New Roman" w:hAnsi="Times New Roman" w:cs="Times New Roman"/>
        </w:rPr>
      </w:pPr>
    </w:p>
    <w:p>
      <w:pPr>
        <w:pStyle w:val="16"/>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rPr>
      </w:pPr>
    </w:p>
    <w:p>
      <w:pPr>
        <w:keepNext w:val="0"/>
        <w:keepLines w:val="0"/>
        <w:pageBreakBefore w:val="0"/>
        <w:widowControl w:val="0"/>
        <w:kinsoku/>
        <w:overflowPunct/>
        <w:topLinePunct w:val="0"/>
        <w:autoSpaceDE/>
        <w:autoSpaceDN/>
        <w:bidi w:val="0"/>
        <w:adjustRightInd/>
        <w:snapToGrid/>
        <w:spacing w:line="400" w:lineRule="exact"/>
        <w:ind w:right="-2" w:rightChars="-1"/>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湘人社</w:t>
      </w:r>
      <w:r>
        <w:rPr>
          <w:rFonts w:hint="default" w:ascii="Times New Roman" w:hAnsi="Times New Roman" w:eastAsia="仿宋_GB2312" w:cs="Times New Roman"/>
          <w:sz w:val="32"/>
          <w:szCs w:val="32"/>
          <w:lang w:eastAsia="zh-CN"/>
        </w:rPr>
        <w:t>规</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 w:eastAsia="zh-CN"/>
        </w:rPr>
        <w:t>4</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640" w:lineRule="exact"/>
        <w:ind w:firstLine="6160" w:firstLineChars="1400"/>
        <w:textAlignment w:val="auto"/>
        <w:rPr>
          <w:rFonts w:hint="default" w:ascii="Times New Roman" w:hAnsi="Times New Roman" w:cs="Times New Roman"/>
          <w:color w:val="000000"/>
        </w:rPr>
      </w:pPr>
      <w:r>
        <w:rPr>
          <w:rFonts w:hint="default" w:ascii="Times New Roman" w:hAnsi="Times New Roman" w:eastAsia="方正小标宋简体" w:cs="Times New Roman"/>
          <w:color w:val="000000"/>
          <w:sz w:val="44"/>
          <w:szCs w:val="44"/>
        </w:rPr>
        <mc:AlternateContent>
          <mc:Choice Requires="wps">
            <w:drawing>
              <wp:anchor distT="0" distB="0" distL="114300" distR="114300" simplePos="0" relativeHeight="251660288" behindDoc="0" locked="0" layoutInCell="1" allowOverlap="1">
                <wp:simplePos x="0" y="0"/>
                <wp:positionH relativeFrom="column">
                  <wp:posOffset>-25400</wp:posOffset>
                </wp:positionH>
                <wp:positionV relativeFrom="paragraph">
                  <wp:posOffset>104140</wp:posOffset>
                </wp:positionV>
                <wp:extent cx="5760720" cy="3810"/>
                <wp:effectExtent l="0" t="0" r="0" b="0"/>
                <wp:wrapNone/>
                <wp:docPr id="8" name="直接连接符 8"/>
                <wp:cNvGraphicFramePr/>
                <a:graphic xmlns:a="http://schemas.openxmlformats.org/drawingml/2006/main">
                  <a:graphicData uri="http://schemas.microsoft.com/office/word/2010/wordprocessingShape">
                    <wps:wsp>
                      <wps:cNvCnPr/>
                      <wps:spPr>
                        <a:xfrm flipV="true">
                          <a:off x="0" y="0"/>
                          <a:ext cx="5760720" cy="3810"/>
                        </a:xfrm>
                        <a:prstGeom prst="line">
                          <a:avLst/>
                        </a:prstGeom>
                        <a:ln w="9525" cap="flat" cmpd="sng">
                          <a:solidFill>
                            <a:srgbClr val="FFFFFF"/>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flip:y;margin-left:-2pt;margin-top:8.2pt;height:0.3pt;width:453.6pt;z-index:251660288;mso-width-relative:page;mso-height-relative:page;" filled="f" stroked="t" coordsize="21600,21600" o:gfxdata="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&#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IzRkErZAAAACAEAAA8AAAAAAAAAAQAgAAAAOAAAAGRy&#10;cy9kb3ducmV2LnhtbFBLAQIUABQAAAAIAIdO4kD5ck/L7gEAALcDAAAOAAAAAAAAAAEAIAAAAD4B&#10;AABkcnMvZTJvRG9jLnhtbFBLBQYAAAAABgAGAFkBAACeBQAAAAA=&#10;">
                <v:fill on="f" focussize="0,0"/>
                <v:stroke color="#FFFFFF"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79" w:lineRule="exact"/>
        <w:ind w:right="0"/>
        <w:jc w:val="center"/>
        <w:textAlignment w:val="auto"/>
        <w:rPr>
          <w:rFonts w:hint="eastAsia" w:ascii="方正小标宋简体" w:hAnsi="方正小标宋简体" w:eastAsia="方正小标宋简体" w:cs="方正小标宋简体"/>
          <w:color w:val="000000"/>
          <w:kern w:val="2"/>
          <w:sz w:val="44"/>
          <w:szCs w:val="44"/>
        </w:rPr>
      </w:pPr>
      <w:r>
        <w:rPr>
          <w:rFonts w:hint="eastAsia" w:ascii="方正小标宋简体" w:hAnsi="方正小标宋简体" w:eastAsia="方正小标宋简体" w:cs="方正小标宋简体"/>
          <w:color w:val="000000"/>
          <w:kern w:val="2"/>
          <w:sz w:val="44"/>
          <w:szCs w:val="44"/>
        </w:rPr>
        <w:t>关于</w:t>
      </w:r>
      <w:r>
        <w:rPr>
          <w:rFonts w:hint="eastAsia" w:ascii="Times New Roman" w:hAnsi="Times New Roman" w:eastAsia="仿宋_GB2312" w:cs="Times New Roman"/>
          <w:color w:val="000000"/>
          <w:kern w:val="2"/>
          <w:sz w:val="44"/>
          <w:szCs w:val="44"/>
        </w:rPr>
        <w:t>202</w:t>
      </w:r>
      <w:r>
        <w:rPr>
          <w:rFonts w:hint="eastAsia" w:ascii="Times New Roman" w:hAnsi="Times New Roman" w:eastAsia="仿宋_GB2312" w:cs="Times New Roman"/>
          <w:color w:val="000000"/>
          <w:kern w:val="2"/>
          <w:sz w:val="44"/>
          <w:szCs w:val="44"/>
          <w:lang w:val="en-US" w:eastAsia="zh-CN"/>
        </w:rPr>
        <w:t>4</w:t>
      </w:r>
      <w:r>
        <w:rPr>
          <w:rFonts w:hint="eastAsia" w:ascii="方正小标宋简体" w:hAnsi="方正小标宋简体" w:eastAsia="方正小标宋简体" w:cs="方正小标宋简体"/>
          <w:color w:val="000000"/>
          <w:kern w:val="2"/>
          <w:sz w:val="44"/>
          <w:szCs w:val="44"/>
        </w:rPr>
        <w:t>年调整退休人员</w:t>
      </w:r>
    </w:p>
    <w:p>
      <w:pPr>
        <w:keepNext w:val="0"/>
        <w:keepLines w:val="0"/>
        <w:pageBreakBefore w:val="0"/>
        <w:widowControl w:val="0"/>
        <w:kinsoku/>
        <w:wordWrap/>
        <w:overflowPunct/>
        <w:topLinePunct w:val="0"/>
        <w:autoSpaceDE/>
        <w:autoSpaceDN/>
        <w:bidi w:val="0"/>
        <w:adjustRightInd/>
        <w:snapToGrid/>
        <w:spacing w:line="579" w:lineRule="exact"/>
        <w:ind w:right="0"/>
        <w:jc w:val="center"/>
        <w:textAlignment w:val="auto"/>
        <w:rPr>
          <w:rFonts w:hint="eastAsia" w:ascii="方正小标宋简体" w:hAnsi="方正小标宋简体" w:eastAsia="方正小标宋简体" w:cs="方正小标宋简体"/>
          <w:color w:val="000000"/>
          <w:kern w:val="2"/>
          <w:sz w:val="44"/>
          <w:szCs w:val="44"/>
        </w:rPr>
      </w:pPr>
      <w:r>
        <w:rPr>
          <w:rFonts w:hint="eastAsia" w:ascii="方正小标宋简体" w:hAnsi="方正小标宋简体" w:eastAsia="方正小标宋简体" w:cs="方正小标宋简体"/>
          <w:color w:val="000000"/>
          <w:kern w:val="2"/>
          <w:sz w:val="44"/>
          <w:szCs w:val="44"/>
        </w:rPr>
        <w:t>基本养老金的通知</w:t>
      </w:r>
    </w:p>
    <w:p>
      <w:pPr>
        <w:keepNext w:val="0"/>
        <w:keepLines w:val="0"/>
        <w:pageBreakBefore w:val="0"/>
        <w:widowControl w:val="0"/>
        <w:kinsoku/>
        <w:wordWrap/>
        <w:overflowPunct/>
        <w:topLinePunct w:val="0"/>
        <w:autoSpaceDE/>
        <w:autoSpaceDN/>
        <w:bidi w:val="0"/>
        <w:adjustRightInd/>
        <w:snapToGrid/>
        <w:spacing w:line="500" w:lineRule="exact"/>
        <w:ind w:right="0" w:firstLine="640" w:firstLineChars="200"/>
        <w:jc w:val="both"/>
        <w:textAlignment w:val="auto"/>
        <w:rPr>
          <w:rFonts w:ascii="Times New Roman" w:hAnsi="Times New Roman" w:eastAsia="方正仿宋简体" w:cs="Times New Roman"/>
          <w:color w:val="000000"/>
          <w:kern w:val="2"/>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right="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各市州人民政府，省政府各厅委、各直属机构，各中央在湘机关事业单位：</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根据《人力资源社会保障部</w:t>
      </w:r>
      <w:r>
        <w:rPr>
          <w:rFonts w:hint="eastAsia" w:ascii="Times New Roman" w:hAnsi="Times New Roman" w:eastAsia="仿宋_GB2312" w:cs="Times New Roman"/>
          <w:color w:val="000000"/>
          <w:kern w:val="2"/>
          <w:sz w:val="32"/>
          <w:szCs w:val="32"/>
        </w:rPr>
        <w:t xml:space="preserve"> </w:t>
      </w:r>
      <w:r>
        <w:rPr>
          <w:rFonts w:ascii="Times New Roman" w:hAnsi="Times New Roman" w:eastAsia="仿宋_GB2312" w:cs="Times New Roman"/>
          <w:color w:val="000000"/>
          <w:kern w:val="2"/>
          <w:sz w:val="32"/>
          <w:szCs w:val="32"/>
        </w:rPr>
        <w:t>财政部关于202</w:t>
      </w:r>
      <w:r>
        <w:rPr>
          <w:rFonts w:hint="eastAsia" w:ascii="Times New Roman" w:hAnsi="Times New Roman" w:eastAsia="仿宋_GB2312" w:cs="Times New Roman"/>
          <w:color w:val="000000"/>
          <w:kern w:val="2"/>
          <w:sz w:val="32"/>
          <w:szCs w:val="32"/>
          <w:lang w:val="en-US" w:eastAsia="zh-CN"/>
        </w:rPr>
        <w:t>4</w:t>
      </w:r>
      <w:r>
        <w:rPr>
          <w:rFonts w:ascii="Times New Roman" w:hAnsi="Times New Roman" w:eastAsia="仿宋_GB2312" w:cs="Times New Roman"/>
          <w:color w:val="000000"/>
          <w:kern w:val="2"/>
          <w:sz w:val="32"/>
          <w:szCs w:val="32"/>
        </w:rPr>
        <w:t>年调整退休人员基本养老金的通知》（人社部发〔202</w:t>
      </w:r>
      <w:r>
        <w:rPr>
          <w:rFonts w:hint="eastAsia" w:ascii="Times New Roman" w:hAnsi="Times New Roman" w:eastAsia="仿宋_GB2312" w:cs="Times New Roman"/>
          <w:color w:val="000000"/>
          <w:kern w:val="2"/>
          <w:sz w:val="32"/>
          <w:szCs w:val="32"/>
          <w:lang w:val="en-US" w:eastAsia="zh-CN"/>
        </w:rPr>
        <w:t>4</w:t>
      </w:r>
      <w:r>
        <w:rPr>
          <w:rFonts w:ascii="Times New Roman" w:hAnsi="Times New Roman" w:eastAsia="仿宋_GB2312" w:cs="Times New Roman"/>
          <w:color w:val="000000"/>
          <w:kern w:val="2"/>
          <w:sz w:val="32"/>
          <w:szCs w:val="32"/>
        </w:rPr>
        <w:t>〕</w:t>
      </w:r>
      <w:r>
        <w:rPr>
          <w:rFonts w:hint="eastAsia" w:ascii="Times New Roman" w:hAnsi="Times New Roman" w:eastAsia="仿宋_GB2312" w:cs="Times New Roman"/>
          <w:color w:val="000000"/>
          <w:kern w:val="2"/>
          <w:sz w:val="32"/>
          <w:szCs w:val="32"/>
          <w:lang w:val="en-US" w:eastAsia="zh-CN"/>
        </w:rPr>
        <w:t>48</w:t>
      </w:r>
      <w:r>
        <w:rPr>
          <w:rFonts w:ascii="Times New Roman" w:hAnsi="Times New Roman" w:eastAsia="仿宋_GB2312" w:cs="Times New Roman"/>
          <w:color w:val="000000"/>
          <w:kern w:val="2"/>
          <w:sz w:val="32"/>
          <w:szCs w:val="32"/>
        </w:rPr>
        <w:t>号）精神，经省人民政府同意，并报人力资源社会保障部、财政部批准，决定从202</w:t>
      </w:r>
      <w:r>
        <w:rPr>
          <w:rFonts w:hint="eastAsia" w:ascii="Times New Roman" w:hAnsi="Times New Roman" w:eastAsia="仿宋_GB2312" w:cs="Times New Roman"/>
          <w:color w:val="000000"/>
          <w:kern w:val="2"/>
          <w:sz w:val="32"/>
          <w:szCs w:val="32"/>
          <w:lang w:val="en-US" w:eastAsia="zh-CN"/>
        </w:rPr>
        <w:t>4</w:t>
      </w:r>
      <w:r>
        <w:rPr>
          <w:rFonts w:ascii="Times New Roman" w:hAnsi="Times New Roman" w:eastAsia="仿宋_GB2312" w:cs="Times New Roman"/>
          <w:color w:val="000000"/>
          <w:kern w:val="2"/>
          <w:sz w:val="32"/>
          <w:szCs w:val="32"/>
        </w:rPr>
        <w:t>年1月1日起，为202</w:t>
      </w:r>
      <w:r>
        <w:rPr>
          <w:rFonts w:hint="eastAsia" w:ascii="Times New Roman" w:hAnsi="Times New Roman" w:eastAsia="仿宋_GB2312" w:cs="Times New Roman"/>
          <w:color w:val="000000"/>
          <w:kern w:val="2"/>
          <w:sz w:val="32"/>
          <w:szCs w:val="32"/>
          <w:lang w:val="en-US" w:eastAsia="zh-CN"/>
        </w:rPr>
        <w:t>3</w:t>
      </w:r>
      <w:r>
        <w:rPr>
          <w:rFonts w:ascii="Times New Roman" w:hAnsi="Times New Roman" w:eastAsia="仿宋_GB2312" w:cs="Times New Roman"/>
          <w:color w:val="000000"/>
          <w:kern w:val="2"/>
          <w:sz w:val="32"/>
          <w:szCs w:val="32"/>
        </w:rPr>
        <w:t>年12月31日前已按规定办理退休手续并按月领取基本养老金的退休人员调整增加基本养老金。现将有关事项通知如下：</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黑体" w:cs="Times New Roman"/>
          <w:color w:val="000000"/>
          <w:kern w:val="2"/>
          <w:sz w:val="32"/>
          <w:szCs w:val="32"/>
        </w:rPr>
      </w:pPr>
      <w:r>
        <w:rPr>
          <w:rFonts w:ascii="Times New Roman" w:hAnsi="Times New Roman" w:eastAsia="黑体" w:cs="Times New Roman"/>
          <w:color w:val="000000"/>
          <w:kern w:val="2"/>
          <w:sz w:val="32"/>
          <w:szCs w:val="32"/>
        </w:rPr>
        <w:t>一、调整范围</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202</w:t>
      </w:r>
      <w:r>
        <w:rPr>
          <w:rFonts w:hint="eastAsia" w:ascii="Times New Roman" w:hAnsi="Times New Roman" w:eastAsia="仿宋_GB2312" w:cs="Times New Roman"/>
          <w:color w:val="000000"/>
          <w:kern w:val="2"/>
          <w:sz w:val="32"/>
          <w:szCs w:val="32"/>
          <w:lang w:val="en-US" w:eastAsia="zh-CN"/>
        </w:rPr>
        <w:t>3</w:t>
      </w:r>
      <w:r>
        <w:rPr>
          <w:rFonts w:ascii="Times New Roman" w:hAnsi="Times New Roman" w:eastAsia="仿宋_GB2312" w:cs="Times New Roman"/>
          <w:color w:val="000000"/>
          <w:kern w:val="2"/>
          <w:sz w:val="32"/>
          <w:szCs w:val="32"/>
        </w:rPr>
        <w:t>年12月31日前已按规定办理退休手续并按月领取基本养老金的退休人员</w:t>
      </w:r>
      <w:r>
        <w:rPr>
          <w:rFonts w:ascii="Times New Roman" w:hAnsi="Times New Roman" w:eastAsia="仿宋_GB2312" w:cs="Times New Roman"/>
          <w:color w:val="auto"/>
          <w:kern w:val="2"/>
          <w:sz w:val="32"/>
          <w:szCs w:val="32"/>
        </w:rPr>
        <w:t>（含退职人员）。</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黑体" w:cs="Times New Roman"/>
          <w:color w:val="000000"/>
          <w:kern w:val="2"/>
          <w:sz w:val="32"/>
          <w:szCs w:val="32"/>
        </w:rPr>
      </w:pPr>
      <w:r>
        <w:rPr>
          <w:rFonts w:ascii="Times New Roman" w:hAnsi="Times New Roman" w:eastAsia="黑体" w:cs="Times New Roman"/>
          <w:color w:val="000000"/>
          <w:kern w:val="2"/>
          <w:sz w:val="32"/>
          <w:szCs w:val="32"/>
        </w:rPr>
        <w:t>二、调整标准</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（一）退休人员每人每月增加基本养老金</w:t>
      </w:r>
      <w:r>
        <w:rPr>
          <w:rFonts w:hint="eastAsia" w:ascii="Times New Roman" w:hAnsi="Times New Roman" w:eastAsia="仿宋_GB2312" w:cs="Times New Roman"/>
          <w:color w:val="000000"/>
          <w:kern w:val="2"/>
          <w:sz w:val="32"/>
          <w:szCs w:val="32"/>
          <w:lang w:val="en-US" w:eastAsia="zh-CN"/>
        </w:rPr>
        <w:t>29</w:t>
      </w:r>
      <w:r>
        <w:rPr>
          <w:rFonts w:ascii="Times New Roman" w:hAnsi="Times New Roman" w:eastAsia="仿宋_GB2312" w:cs="Times New Roman"/>
          <w:color w:val="000000"/>
          <w:kern w:val="2"/>
          <w:sz w:val="32"/>
          <w:szCs w:val="32"/>
        </w:rPr>
        <w:t>元。</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（二）在（一）项调整基础上，退休人员按本人缴费年限（含视同缴费年限，</w:t>
      </w:r>
      <w:r>
        <w:rPr>
          <w:rFonts w:ascii="Times New Roman" w:hAnsi="Times New Roman" w:eastAsia="仿宋_GB2312" w:cs="Times New Roman"/>
          <w:color w:val="auto"/>
          <w:kern w:val="2"/>
          <w:sz w:val="32"/>
          <w:szCs w:val="32"/>
        </w:rPr>
        <w:t>不含折算工龄，</w:t>
      </w:r>
      <w:r>
        <w:rPr>
          <w:rFonts w:ascii="Times New Roman" w:hAnsi="Times New Roman" w:eastAsia="仿宋_GB2312" w:cs="Times New Roman"/>
          <w:color w:val="000000"/>
          <w:kern w:val="2"/>
          <w:sz w:val="32"/>
          <w:szCs w:val="32"/>
        </w:rPr>
        <w:t>不满1</w:t>
      </w:r>
      <w:r>
        <w:rPr>
          <w:rFonts w:hint="eastAsia" w:ascii="Times New Roman" w:hAnsi="Times New Roman" w:eastAsia="仿宋_GB2312" w:cs="Times New Roman"/>
          <w:color w:val="000000"/>
          <w:kern w:val="2"/>
          <w:sz w:val="32"/>
          <w:szCs w:val="32"/>
          <w:lang w:val="en-US" w:eastAsia="zh-CN"/>
        </w:rPr>
        <w:t>5</w:t>
      </w:r>
      <w:r>
        <w:rPr>
          <w:rFonts w:ascii="Times New Roman" w:hAnsi="Times New Roman" w:eastAsia="仿宋_GB2312" w:cs="Times New Roman"/>
          <w:color w:val="000000"/>
          <w:kern w:val="2"/>
          <w:sz w:val="32"/>
          <w:szCs w:val="32"/>
        </w:rPr>
        <w:t>年的按1</w:t>
      </w:r>
      <w:r>
        <w:rPr>
          <w:rFonts w:hint="eastAsia" w:ascii="Times New Roman" w:hAnsi="Times New Roman" w:eastAsia="仿宋_GB2312" w:cs="Times New Roman"/>
          <w:color w:val="000000"/>
          <w:kern w:val="2"/>
          <w:sz w:val="32"/>
          <w:szCs w:val="32"/>
          <w:lang w:val="en-US" w:eastAsia="zh-CN"/>
        </w:rPr>
        <w:t>5</w:t>
      </w:r>
      <w:r>
        <w:rPr>
          <w:rFonts w:ascii="Times New Roman" w:hAnsi="Times New Roman" w:eastAsia="仿宋_GB2312" w:cs="Times New Roman"/>
          <w:color w:val="000000"/>
          <w:kern w:val="2"/>
          <w:sz w:val="32"/>
          <w:szCs w:val="32"/>
        </w:rPr>
        <w:t>年计算），每满1年月基本养老金再增加1.</w:t>
      </w:r>
      <w:r>
        <w:rPr>
          <w:rFonts w:hint="eastAsia" w:ascii="Times New Roman" w:hAnsi="Times New Roman" w:eastAsia="仿宋_GB2312" w:cs="Times New Roman"/>
          <w:color w:val="000000"/>
          <w:kern w:val="2"/>
          <w:sz w:val="32"/>
          <w:szCs w:val="32"/>
          <w:lang w:val="en-US" w:eastAsia="zh-CN"/>
        </w:rPr>
        <w:t>12</w:t>
      </w:r>
      <w:r>
        <w:rPr>
          <w:rFonts w:ascii="Times New Roman" w:hAnsi="Times New Roman" w:eastAsia="仿宋_GB2312" w:cs="Times New Roman"/>
          <w:color w:val="000000"/>
          <w:kern w:val="2"/>
          <w:sz w:val="32"/>
          <w:szCs w:val="32"/>
        </w:rPr>
        <w:t>元（缴费年限计算到月，不满1年的记为1年），同时，以本人202</w:t>
      </w:r>
      <w:r>
        <w:rPr>
          <w:rFonts w:hint="eastAsia" w:ascii="Times New Roman" w:hAnsi="Times New Roman" w:eastAsia="仿宋_GB2312" w:cs="Times New Roman"/>
          <w:color w:val="000000"/>
          <w:kern w:val="2"/>
          <w:sz w:val="32"/>
          <w:szCs w:val="32"/>
          <w:lang w:val="en-US" w:eastAsia="zh-CN"/>
        </w:rPr>
        <w:t>3</w:t>
      </w:r>
      <w:r>
        <w:rPr>
          <w:rFonts w:ascii="Times New Roman" w:hAnsi="Times New Roman" w:eastAsia="仿宋_GB2312" w:cs="Times New Roman"/>
          <w:color w:val="000000"/>
          <w:kern w:val="2"/>
          <w:sz w:val="32"/>
          <w:szCs w:val="32"/>
        </w:rPr>
        <w:t>年12月的基本养老金为基数，每月再增加</w:t>
      </w:r>
      <w:r>
        <w:rPr>
          <w:rFonts w:hint="eastAsia" w:ascii="Times New Roman" w:hAnsi="Times New Roman" w:eastAsia="仿宋_GB2312" w:cs="Times New Roman"/>
          <w:color w:val="000000"/>
          <w:kern w:val="2"/>
          <w:sz w:val="32"/>
          <w:szCs w:val="32"/>
          <w:lang w:val="en-US" w:eastAsia="zh-CN"/>
        </w:rPr>
        <w:t>0.84</w:t>
      </w:r>
      <w:r>
        <w:rPr>
          <w:rFonts w:ascii="Times New Roman" w:hAnsi="Times New Roman" w:eastAsia="仿宋_GB2312" w:cs="Times New Roman"/>
          <w:color w:val="000000"/>
          <w:kern w:val="2"/>
          <w:sz w:val="32"/>
          <w:szCs w:val="32"/>
        </w:rPr>
        <w:t>%。</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（三）在（一）、（二）项调整基础上，对202</w:t>
      </w:r>
      <w:r>
        <w:rPr>
          <w:rFonts w:hint="eastAsia" w:ascii="Times New Roman" w:hAnsi="Times New Roman" w:eastAsia="仿宋_GB2312" w:cs="Times New Roman"/>
          <w:color w:val="000000"/>
          <w:kern w:val="2"/>
          <w:sz w:val="32"/>
          <w:szCs w:val="32"/>
          <w:lang w:val="en-US" w:eastAsia="zh-CN"/>
        </w:rPr>
        <w:t>3</w:t>
      </w:r>
      <w:r>
        <w:rPr>
          <w:rFonts w:ascii="Times New Roman" w:hAnsi="Times New Roman" w:eastAsia="仿宋_GB2312" w:cs="Times New Roman"/>
          <w:color w:val="000000"/>
          <w:kern w:val="2"/>
          <w:sz w:val="32"/>
          <w:szCs w:val="32"/>
        </w:rPr>
        <w:t>年12月31日前年满70周岁且不满80周岁的退休人员每人每月再增加基本养老金</w:t>
      </w:r>
      <w:r>
        <w:rPr>
          <w:rFonts w:hint="eastAsia" w:ascii="Times New Roman" w:hAnsi="Times New Roman" w:eastAsia="仿宋_GB2312" w:cs="Times New Roman"/>
          <w:color w:val="000000"/>
          <w:kern w:val="2"/>
          <w:sz w:val="32"/>
          <w:szCs w:val="32"/>
          <w:lang w:val="en-US" w:eastAsia="zh-CN"/>
        </w:rPr>
        <w:t>20</w:t>
      </w:r>
      <w:r>
        <w:rPr>
          <w:rFonts w:ascii="Times New Roman" w:hAnsi="Times New Roman" w:eastAsia="仿宋_GB2312" w:cs="Times New Roman"/>
          <w:color w:val="000000"/>
          <w:kern w:val="2"/>
          <w:sz w:val="32"/>
          <w:szCs w:val="32"/>
        </w:rPr>
        <w:t>元；对202</w:t>
      </w:r>
      <w:r>
        <w:rPr>
          <w:rFonts w:hint="eastAsia" w:ascii="Times New Roman" w:hAnsi="Times New Roman" w:eastAsia="仿宋_GB2312" w:cs="Times New Roman"/>
          <w:color w:val="000000"/>
          <w:kern w:val="2"/>
          <w:sz w:val="32"/>
          <w:szCs w:val="32"/>
          <w:lang w:val="en-US" w:eastAsia="zh-CN"/>
        </w:rPr>
        <w:t>3</w:t>
      </w:r>
      <w:r>
        <w:rPr>
          <w:rFonts w:ascii="Times New Roman" w:hAnsi="Times New Roman" w:eastAsia="仿宋_GB2312" w:cs="Times New Roman"/>
          <w:color w:val="000000"/>
          <w:kern w:val="2"/>
          <w:sz w:val="32"/>
          <w:szCs w:val="32"/>
        </w:rPr>
        <w:t>年12月31日前年满80周岁的退休人员每人每月再增加基本养老金</w:t>
      </w:r>
      <w:r>
        <w:rPr>
          <w:rFonts w:hint="eastAsia" w:ascii="Times New Roman" w:hAnsi="Times New Roman" w:eastAsia="仿宋_GB2312" w:cs="Times New Roman"/>
          <w:color w:val="000000"/>
          <w:kern w:val="2"/>
          <w:sz w:val="32"/>
          <w:szCs w:val="32"/>
          <w:lang w:val="en-US" w:eastAsia="zh-CN"/>
        </w:rPr>
        <w:t>30</w:t>
      </w:r>
      <w:r>
        <w:rPr>
          <w:rFonts w:ascii="Times New Roman" w:hAnsi="Times New Roman" w:eastAsia="仿宋_GB2312" w:cs="Times New Roman"/>
          <w:color w:val="000000"/>
          <w:kern w:val="2"/>
          <w:sz w:val="32"/>
          <w:szCs w:val="32"/>
        </w:rPr>
        <w:t>元。</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四）在（一）、（二）和（三）项调整基础上，对艰苦边远地区（桑植县、江华瑶族自治县、城步苗族自治县、麻阳苗族自治县、新晃侗族自治县、通道侗族自治县、吉首市、泸溪县、凤凰县、花垣县、保靖县、古丈县、永顺县、龙山县）的退休人员，每人每月再增加基本养老金10元。</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（五）对基本养老金偏低的企业退休军转干部，继续按照规定落实相关解困标准。</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（六）已按湘政办发〔2003〕44号文件、湘劳社政字〔2007〕15号文件规定参保的国有农垦企业、农林企事业场所退休人员待遇调整办法和标准同上。</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黑体" w:cs="Times New Roman"/>
          <w:color w:val="000000"/>
          <w:kern w:val="2"/>
          <w:sz w:val="32"/>
          <w:szCs w:val="32"/>
        </w:rPr>
      </w:pPr>
      <w:r>
        <w:rPr>
          <w:rFonts w:ascii="Times New Roman" w:hAnsi="Times New Roman" w:eastAsia="黑体" w:cs="Times New Roman"/>
          <w:color w:val="000000"/>
          <w:kern w:val="2"/>
          <w:sz w:val="32"/>
          <w:szCs w:val="32"/>
        </w:rPr>
        <w:t>三、资金来源</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调整基本养老金所需资金，参加企业职工基本养老保险的从企业</w:t>
      </w:r>
      <w:r>
        <w:rPr>
          <w:rFonts w:hint="eastAsia" w:ascii="Times New Roman" w:hAnsi="Times New Roman" w:eastAsia="仿宋_GB2312" w:cs="Times New Roman"/>
          <w:color w:val="000000"/>
          <w:kern w:val="2"/>
          <w:sz w:val="32"/>
          <w:szCs w:val="32"/>
          <w:lang w:val="en-US" w:eastAsia="zh-CN"/>
        </w:rPr>
        <w:t>职工</w:t>
      </w:r>
      <w:r>
        <w:rPr>
          <w:rFonts w:ascii="Times New Roman" w:hAnsi="Times New Roman" w:eastAsia="仿宋_GB2312" w:cs="Times New Roman"/>
          <w:color w:val="000000"/>
          <w:kern w:val="2"/>
          <w:sz w:val="32"/>
          <w:szCs w:val="32"/>
        </w:rPr>
        <w:t>基本养老保险基金中列支；按湘政发〔2015〕38号文件参加机关事业单位工作人员基本养老保险的从机关事业单位基本养老保险基金中列支，所需增加的资金按属地管理原则由各市州、县市区人民政府负责筹措，中央和省财政给予适当补助。</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黑体" w:cs="Times New Roman"/>
          <w:color w:val="000000"/>
          <w:kern w:val="2"/>
          <w:sz w:val="32"/>
          <w:szCs w:val="32"/>
        </w:rPr>
      </w:pPr>
      <w:r>
        <w:rPr>
          <w:rFonts w:ascii="Times New Roman" w:hAnsi="Times New Roman" w:eastAsia="黑体" w:cs="Times New Roman"/>
          <w:color w:val="000000"/>
          <w:kern w:val="2"/>
          <w:sz w:val="32"/>
          <w:szCs w:val="32"/>
        </w:rPr>
        <w:t>四、调整办法</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（一）此次调整增加基本养老金，参加企业职工基本养老保险的，由省级社会保险经办机构在经办信息系统中统一设置，参保地社会保险经办机构出具《202</w:t>
      </w:r>
      <w:r>
        <w:rPr>
          <w:rFonts w:hint="eastAsia" w:ascii="Times New Roman" w:hAnsi="Times New Roman" w:eastAsia="仿宋_GB2312" w:cs="Times New Roman"/>
          <w:color w:val="000000"/>
          <w:kern w:val="2"/>
          <w:sz w:val="32"/>
          <w:szCs w:val="32"/>
          <w:lang w:val="en-US" w:eastAsia="zh-CN"/>
        </w:rPr>
        <w:t>4</w:t>
      </w:r>
      <w:r>
        <w:rPr>
          <w:rFonts w:ascii="Times New Roman" w:hAnsi="Times New Roman" w:eastAsia="仿宋_GB2312" w:cs="Times New Roman"/>
          <w:color w:val="000000"/>
          <w:kern w:val="2"/>
          <w:sz w:val="32"/>
          <w:szCs w:val="32"/>
        </w:rPr>
        <w:t>年调整退休人员基本养老金核对表》（</w:t>
      </w:r>
      <w:r>
        <w:rPr>
          <w:rFonts w:hint="eastAsia" w:ascii="Times New Roman" w:hAnsi="Times New Roman" w:eastAsia="仿宋_GB2312" w:cs="Times New Roman"/>
          <w:color w:val="000000"/>
          <w:kern w:val="2"/>
          <w:sz w:val="32"/>
          <w:szCs w:val="32"/>
          <w:lang w:val="en-US" w:eastAsia="zh-CN"/>
        </w:rPr>
        <w:t>附件</w:t>
      </w:r>
      <w:r>
        <w:rPr>
          <w:rFonts w:ascii="Times New Roman" w:hAnsi="Times New Roman" w:eastAsia="仿宋_GB2312" w:cs="Times New Roman"/>
          <w:color w:val="000000"/>
          <w:kern w:val="2"/>
          <w:sz w:val="32"/>
          <w:szCs w:val="32"/>
        </w:rPr>
        <w:t>1，下同），经退休人员所在企业或社区核对无误后进行调整。按照湘政发〔2015〕38号文件参加机关事业单位工作人员基本养老保险的，由参保地社会保险经办机构出具《202</w:t>
      </w:r>
      <w:r>
        <w:rPr>
          <w:rFonts w:hint="eastAsia" w:ascii="Times New Roman" w:hAnsi="Times New Roman" w:eastAsia="仿宋_GB2312" w:cs="Times New Roman"/>
          <w:color w:val="000000"/>
          <w:kern w:val="2"/>
          <w:sz w:val="32"/>
          <w:szCs w:val="32"/>
          <w:lang w:val="en-US" w:eastAsia="zh-CN"/>
        </w:rPr>
        <w:t>4</w:t>
      </w:r>
      <w:r>
        <w:rPr>
          <w:rFonts w:ascii="Times New Roman" w:hAnsi="Times New Roman" w:eastAsia="仿宋_GB2312" w:cs="Times New Roman"/>
          <w:color w:val="000000"/>
          <w:kern w:val="2"/>
          <w:sz w:val="32"/>
          <w:szCs w:val="32"/>
        </w:rPr>
        <w:t>年调整退休人员基本养老金核对表》，经退休人员所在单位核对无误后进行调整</w:t>
      </w:r>
      <w:r>
        <w:rPr>
          <w:rFonts w:ascii="Times New Roman" w:hAnsi="Times New Roman" w:eastAsia="仿宋_GB2312" w:cs="Times New Roman"/>
          <w:color w:val="auto"/>
          <w:kern w:val="2"/>
          <w:sz w:val="32"/>
          <w:szCs w:val="32"/>
        </w:rPr>
        <w:t>。尚未纳入经办机构管理的，暂由原单位进行调整，待正式纳入后再据实结算。</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（二）退休人员调整基本养老金工作，各地应抓紧在7月31日以前完成，并于8月10日前将本地区《202</w:t>
      </w:r>
      <w:r>
        <w:rPr>
          <w:rFonts w:hint="eastAsia" w:ascii="Times New Roman" w:hAnsi="Times New Roman" w:eastAsia="仿宋_GB2312" w:cs="Times New Roman"/>
          <w:color w:val="000000"/>
          <w:kern w:val="2"/>
          <w:sz w:val="32"/>
          <w:szCs w:val="32"/>
          <w:lang w:val="en-US" w:eastAsia="zh-CN"/>
        </w:rPr>
        <w:t>4</w:t>
      </w:r>
      <w:r>
        <w:rPr>
          <w:rFonts w:ascii="Times New Roman" w:hAnsi="Times New Roman" w:eastAsia="仿宋_GB2312" w:cs="Times New Roman"/>
          <w:color w:val="000000"/>
          <w:kern w:val="2"/>
          <w:sz w:val="32"/>
          <w:szCs w:val="32"/>
        </w:rPr>
        <w:t>年调整退休人员基本养老金情况汇总表》（</w:t>
      </w:r>
      <w:r>
        <w:rPr>
          <w:rFonts w:hint="eastAsia" w:ascii="Times New Roman" w:hAnsi="Times New Roman" w:eastAsia="仿宋_GB2312" w:cs="Times New Roman"/>
          <w:color w:val="000000"/>
          <w:kern w:val="2"/>
          <w:sz w:val="32"/>
          <w:szCs w:val="32"/>
          <w:lang w:val="en-US" w:eastAsia="zh-CN"/>
        </w:rPr>
        <w:t>附件</w:t>
      </w:r>
      <w:r>
        <w:rPr>
          <w:rFonts w:ascii="Times New Roman" w:hAnsi="Times New Roman" w:eastAsia="仿宋_GB2312" w:cs="Times New Roman"/>
          <w:color w:val="000000"/>
          <w:kern w:val="2"/>
          <w:sz w:val="32"/>
          <w:szCs w:val="32"/>
        </w:rPr>
        <w:t>2）和工作总结上报省人力资源社会保障厅、省财政厅。</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（三）未参</w:t>
      </w:r>
      <w:r>
        <w:rPr>
          <w:rFonts w:ascii="Times New Roman" w:hAnsi="Times New Roman" w:eastAsia="仿宋_GB2312" w:cs="Times New Roman"/>
          <w:color w:val="000000"/>
          <w:spacing w:val="7"/>
          <w:kern w:val="2"/>
          <w:sz w:val="32"/>
          <w:szCs w:val="32"/>
        </w:rPr>
        <w:t>加企业职工基本养老保险和机关事业</w:t>
      </w:r>
      <w:r>
        <w:rPr>
          <w:rFonts w:ascii="Times New Roman" w:hAnsi="Times New Roman" w:eastAsia="仿宋_GB2312" w:cs="Times New Roman"/>
          <w:color w:val="000000"/>
          <w:kern w:val="2"/>
          <w:sz w:val="32"/>
          <w:szCs w:val="32"/>
        </w:rPr>
        <w:t>单位工作人员基本养老保险的，执行本通知规定的调整办法，所需资金由原渠道解决。</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调整退休人员基本养老金，是保障和改善民生的重要措施，体现了党和国家对广大退休人员的亲切关怀。各地区要高度重视，切实加强领导，精心组织实施，加强政策解读，正确引导舆论，确保调整工作平稳进行。各级政府要切实调整财政支出结构，足额安排养老保险基金补助，确保退休人员基本养老金按时足额发放。</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附</w:t>
      </w:r>
      <w:r>
        <w:rPr>
          <w:rFonts w:hint="eastAsia" w:ascii="Times New Roman" w:hAnsi="Times New Roman" w:eastAsia="仿宋_GB2312" w:cs="Times New Roman"/>
          <w:color w:val="000000"/>
          <w:kern w:val="2"/>
          <w:sz w:val="32"/>
          <w:szCs w:val="32"/>
          <w:lang w:eastAsia="zh-CN"/>
        </w:rPr>
        <w:t>件</w:t>
      </w:r>
      <w:r>
        <w:rPr>
          <w:rFonts w:ascii="Times New Roman" w:hAnsi="Times New Roman" w:eastAsia="仿宋_GB2312" w:cs="Times New Roman"/>
          <w:color w:val="000000"/>
          <w:kern w:val="2"/>
          <w:sz w:val="32"/>
          <w:szCs w:val="32"/>
        </w:rPr>
        <w:t>：1</w:t>
      </w:r>
      <w:r>
        <w:rPr>
          <w:rFonts w:hint="eastAsia" w:ascii="仿宋_GB2312" w:hAnsi="仿宋_GB2312" w:eastAsia="仿宋_GB2312" w:cs="仿宋_GB2312"/>
          <w:color w:val="000000"/>
          <w:kern w:val="2"/>
          <w:sz w:val="32"/>
          <w:szCs w:val="32"/>
          <w:lang w:val="en-US" w:eastAsia="zh-CN"/>
        </w:rPr>
        <w:t>.</w:t>
      </w:r>
      <w:r>
        <w:rPr>
          <w:rFonts w:ascii="Times New Roman" w:hAnsi="Times New Roman" w:eastAsia="仿宋_GB2312" w:cs="Times New Roman"/>
          <w:color w:val="000000"/>
          <w:kern w:val="2"/>
          <w:sz w:val="32"/>
          <w:szCs w:val="32"/>
        </w:rPr>
        <w:t>202</w:t>
      </w:r>
      <w:r>
        <w:rPr>
          <w:rFonts w:hint="eastAsia" w:ascii="Times New Roman" w:hAnsi="Times New Roman" w:eastAsia="仿宋_GB2312" w:cs="Times New Roman"/>
          <w:color w:val="000000"/>
          <w:kern w:val="2"/>
          <w:sz w:val="32"/>
          <w:szCs w:val="32"/>
          <w:lang w:val="en-US" w:eastAsia="zh-CN"/>
        </w:rPr>
        <w:t>4</w:t>
      </w:r>
      <w:r>
        <w:rPr>
          <w:rFonts w:ascii="Times New Roman" w:hAnsi="Times New Roman" w:eastAsia="仿宋_GB2312" w:cs="Times New Roman"/>
          <w:color w:val="000000"/>
          <w:kern w:val="2"/>
          <w:sz w:val="32"/>
          <w:szCs w:val="32"/>
        </w:rPr>
        <w:t>年调整退休人员基本养老金核对表</w:t>
      </w:r>
    </w:p>
    <w:p>
      <w:pPr>
        <w:keepNext w:val="0"/>
        <w:keepLines w:val="0"/>
        <w:pageBreakBefore w:val="0"/>
        <w:widowControl w:val="0"/>
        <w:kinsoku/>
        <w:wordWrap/>
        <w:overflowPunct/>
        <w:topLinePunct w:val="0"/>
        <w:autoSpaceDE/>
        <w:autoSpaceDN/>
        <w:bidi w:val="0"/>
        <w:adjustRightInd/>
        <w:snapToGrid/>
        <w:spacing w:line="579" w:lineRule="exact"/>
        <w:ind w:right="0" w:firstLine="1280" w:firstLineChars="400"/>
        <w:jc w:val="both"/>
        <w:textAlignment w:val="auto"/>
        <w:rPr>
          <w:rFonts w:ascii="Times New Roman" w:hAnsi="Times New Roman" w:eastAsia="仿宋_GB2312" w:cs="Times New Roman"/>
          <w:color w:val="000000"/>
          <w:kern w:val="2"/>
          <w:sz w:val="32"/>
          <w:szCs w:val="32"/>
        </w:rPr>
      </w:pPr>
      <w:r>
        <w:rPr>
          <w:rFonts w:hint="eastAsia" w:ascii="Times New Roman" w:hAnsi="Times New Roman" w:eastAsia="仿宋_GB2312" w:cs="Times New Roman"/>
          <w:color w:val="000000"/>
          <w:kern w:val="2"/>
          <w:sz w:val="32"/>
          <w:szCs w:val="32"/>
          <w:lang w:val="en-US" w:eastAsia="zh-CN"/>
        </w:rPr>
        <w:t xml:space="preserve">  2</w:t>
      </w:r>
      <w:r>
        <w:rPr>
          <w:rFonts w:hint="eastAsia" w:ascii="仿宋_GB2312" w:hAnsi="仿宋_GB2312" w:eastAsia="仿宋_GB2312" w:cs="仿宋_GB2312"/>
          <w:color w:val="000000"/>
          <w:kern w:val="2"/>
          <w:sz w:val="32"/>
          <w:szCs w:val="32"/>
          <w:lang w:val="en-US" w:eastAsia="zh-CN"/>
        </w:rPr>
        <w:t>.</w:t>
      </w:r>
      <w:r>
        <w:rPr>
          <w:rFonts w:ascii="Times New Roman" w:hAnsi="Times New Roman" w:eastAsia="仿宋_GB2312" w:cs="Times New Roman"/>
          <w:color w:val="000000"/>
          <w:kern w:val="2"/>
          <w:sz w:val="32"/>
          <w:szCs w:val="32"/>
        </w:rPr>
        <w:t>202</w:t>
      </w:r>
      <w:r>
        <w:rPr>
          <w:rFonts w:hint="eastAsia" w:ascii="Times New Roman" w:hAnsi="Times New Roman" w:eastAsia="仿宋_GB2312" w:cs="Times New Roman"/>
          <w:color w:val="000000"/>
          <w:kern w:val="2"/>
          <w:sz w:val="32"/>
          <w:szCs w:val="32"/>
          <w:lang w:val="en-US" w:eastAsia="zh-CN"/>
        </w:rPr>
        <w:t>4</w:t>
      </w:r>
      <w:r>
        <w:rPr>
          <w:rFonts w:ascii="Times New Roman" w:hAnsi="Times New Roman" w:eastAsia="仿宋_GB2312" w:cs="Times New Roman"/>
          <w:color w:val="000000"/>
          <w:kern w:val="2"/>
          <w:sz w:val="32"/>
          <w:szCs w:val="32"/>
        </w:rPr>
        <w:t>年调整退休人员基本养老金情况汇总表</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p>
    <w:p>
      <w:pPr>
        <w:pStyle w:val="16"/>
        <w:keepNext w:val="0"/>
        <w:keepLines w:val="0"/>
        <w:pageBreakBefore w:val="0"/>
        <w:widowControl w:val="0"/>
        <w:kinsoku/>
        <w:wordWrap/>
        <w:overflowPunct/>
        <w:topLinePunct w:val="0"/>
        <w:autoSpaceDE/>
        <w:autoSpaceDN/>
        <w:bidi w:val="0"/>
        <w:adjustRightInd/>
        <w:snapToGrid/>
        <w:spacing w:line="579" w:lineRule="exact"/>
        <w:ind w:right="0"/>
        <w:jc w:val="both"/>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right="0"/>
        <w:jc w:val="both"/>
        <w:textAlignment w:val="auto"/>
        <w:rPr>
          <w:sz w:val="32"/>
          <w:szCs w:val="32"/>
        </w:rPr>
      </w:pPr>
      <w:r>
        <w:rPr>
          <w:rFonts w:hint="eastAsia" w:ascii="Times New Roman" w:hAnsi="Times New Roman" w:eastAsia="仿宋_GB2312" w:cs="Times New Roman"/>
          <w:color w:val="000000"/>
          <w:kern w:val="2"/>
          <w:sz w:val="32"/>
          <w:szCs w:val="32"/>
          <w:lang w:val="en-US" w:eastAsia="zh-CN"/>
        </w:rPr>
        <w:t xml:space="preserve">   </w:t>
      </w:r>
      <w:r>
        <w:rPr>
          <w:rFonts w:ascii="Times New Roman" w:hAnsi="Times New Roman" w:eastAsia="仿宋_GB2312" w:cs="Times New Roman"/>
          <w:color w:val="000000"/>
          <w:kern w:val="2"/>
          <w:sz w:val="32"/>
          <w:szCs w:val="32"/>
        </w:rPr>
        <w:t xml:space="preserve">湖南省人力资源和社会保障厅  </w:t>
      </w:r>
      <w:r>
        <w:rPr>
          <w:rFonts w:hint="eastAsia" w:ascii="Times New Roman" w:hAnsi="Times New Roman" w:eastAsia="仿宋_GB2312" w:cs="Times New Roman"/>
          <w:color w:val="000000"/>
          <w:kern w:val="2"/>
          <w:sz w:val="32"/>
          <w:szCs w:val="32"/>
          <w:lang w:val="en-US" w:eastAsia="zh-CN"/>
        </w:rPr>
        <w:t xml:space="preserve">     </w:t>
      </w:r>
      <w:r>
        <w:rPr>
          <w:rFonts w:ascii="Times New Roman" w:hAnsi="Times New Roman" w:eastAsia="仿宋_GB2312" w:cs="Times New Roman"/>
          <w:color w:val="000000"/>
          <w:kern w:val="2"/>
          <w:sz w:val="32"/>
          <w:szCs w:val="32"/>
        </w:rPr>
        <w:t>湖南省财政厅</w:t>
      </w:r>
    </w:p>
    <w:p>
      <w:pPr>
        <w:keepNext w:val="0"/>
        <w:keepLines w:val="0"/>
        <w:pageBreakBefore w:val="0"/>
        <w:widowControl w:val="0"/>
        <w:kinsoku/>
        <w:wordWrap/>
        <w:overflowPunct/>
        <w:topLinePunct w:val="0"/>
        <w:autoSpaceDE/>
        <w:autoSpaceDN/>
        <w:bidi w:val="0"/>
        <w:adjustRightInd/>
        <w:snapToGrid/>
        <w:spacing w:line="579" w:lineRule="exact"/>
        <w:ind w:right="0"/>
        <w:jc w:val="both"/>
        <w:textAlignment w:val="auto"/>
        <w:rPr>
          <w:rFonts w:ascii="Times New Roman" w:hAnsi="Times New Roman" w:eastAsia="仿宋_GB2312" w:cs="Times New Roman"/>
          <w:color w:val="000000"/>
          <w:kern w:val="2"/>
          <w:sz w:val="32"/>
          <w:szCs w:val="32"/>
        </w:rPr>
      </w:pPr>
      <w:r>
        <w:rPr>
          <w:rFonts w:hint="eastAsia" w:ascii="Times New Roman" w:hAnsi="Times New Roman" w:eastAsia="仿宋_GB2312" w:cs="Times New Roman"/>
          <w:color w:val="000000"/>
          <w:kern w:val="2"/>
          <w:sz w:val="32"/>
          <w:szCs w:val="32"/>
        </w:rPr>
        <w:t xml:space="preserve">   </w:t>
      </w:r>
      <w:r>
        <w:rPr>
          <w:rFonts w:ascii="Times New Roman" w:hAnsi="Times New Roman" w:eastAsia="仿宋_GB2312" w:cs="Times New Roman"/>
          <w:color w:val="000000"/>
          <w:kern w:val="2"/>
          <w:sz w:val="32"/>
          <w:szCs w:val="32"/>
        </w:rPr>
        <w:t>　　　　　　　　　　</w:t>
      </w:r>
      <w:r>
        <w:rPr>
          <w:rFonts w:hint="eastAsia" w:ascii="Times New Roman" w:hAnsi="Times New Roman" w:eastAsia="仿宋_GB2312" w:cs="Times New Roman"/>
          <w:color w:val="000000"/>
          <w:kern w:val="2"/>
          <w:sz w:val="32"/>
          <w:szCs w:val="32"/>
          <w:lang w:val="en-US" w:eastAsia="zh-CN"/>
        </w:rPr>
        <w:t xml:space="preserve">           </w:t>
      </w:r>
      <w:r>
        <w:rPr>
          <w:rFonts w:hint="eastAsia" w:ascii="Times New Roman" w:hAnsi="Times New Roman" w:eastAsia="仿宋_GB2312" w:cs="Times New Roman"/>
          <w:color w:val="000000"/>
          <w:kern w:val="2"/>
          <w:sz w:val="32"/>
          <w:szCs w:val="32"/>
        </w:rPr>
        <w:t xml:space="preserve"> </w:t>
      </w:r>
      <w:r>
        <w:rPr>
          <w:rFonts w:ascii="Times New Roman" w:hAnsi="Times New Roman" w:eastAsia="仿宋_GB2312" w:cs="Times New Roman"/>
          <w:color w:val="000000"/>
          <w:kern w:val="2"/>
          <w:sz w:val="32"/>
          <w:szCs w:val="32"/>
        </w:rPr>
        <w:t>202</w:t>
      </w:r>
      <w:r>
        <w:rPr>
          <w:rFonts w:hint="eastAsia" w:ascii="Times New Roman" w:hAnsi="Times New Roman" w:eastAsia="仿宋_GB2312" w:cs="Times New Roman"/>
          <w:color w:val="000000"/>
          <w:kern w:val="2"/>
          <w:sz w:val="32"/>
          <w:szCs w:val="32"/>
          <w:lang w:val="en-US" w:eastAsia="zh-CN"/>
        </w:rPr>
        <w:t>4</w:t>
      </w:r>
      <w:r>
        <w:rPr>
          <w:rFonts w:ascii="Times New Roman" w:hAnsi="Times New Roman" w:eastAsia="仿宋_GB2312" w:cs="Times New Roman"/>
          <w:color w:val="000000"/>
          <w:kern w:val="2"/>
          <w:sz w:val="32"/>
          <w:szCs w:val="32"/>
        </w:rPr>
        <w:t>年</w:t>
      </w:r>
      <w:r>
        <w:rPr>
          <w:rFonts w:hint="eastAsia" w:ascii="Times New Roman" w:hAnsi="Times New Roman" w:eastAsia="仿宋_GB2312" w:cs="Times New Roman"/>
          <w:color w:val="000000"/>
          <w:kern w:val="2"/>
          <w:sz w:val="32"/>
          <w:szCs w:val="32"/>
          <w:lang w:val="en-US" w:eastAsia="zh-CN"/>
        </w:rPr>
        <w:t>6</w:t>
      </w:r>
      <w:r>
        <w:rPr>
          <w:rFonts w:ascii="Times New Roman" w:hAnsi="Times New Roman" w:eastAsia="仿宋_GB2312" w:cs="Times New Roman"/>
          <w:color w:val="000000"/>
          <w:kern w:val="2"/>
          <w:sz w:val="32"/>
          <w:szCs w:val="32"/>
        </w:rPr>
        <w:t>月</w:t>
      </w:r>
      <w:r>
        <w:rPr>
          <w:rFonts w:hint="eastAsia" w:ascii="Times New Roman" w:hAnsi="Times New Roman" w:eastAsia="仿宋_GB2312" w:cs="Times New Roman"/>
          <w:color w:val="000000"/>
          <w:kern w:val="2"/>
          <w:sz w:val="32"/>
          <w:szCs w:val="32"/>
          <w:lang w:val="en-US" w:eastAsia="zh-CN"/>
        </w:rPr>
        <w:t>24</w:t>
      </w:r>
      <w:r>
        <w:rPr>
          <w:rFonts w:ascii="Times New Roman" w:hAnsi="Times New Roman" w:eastAsia="仿宋_GB2312" w:cs="Times New Roman"/>
          <w:color w:val="000000"/>
          <w:kern w:val="2"/>
          <w:sz w:val="32"/>
          <w:szCs w:val="32"/>
        </w:rPr>
        <w:t>日</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pPr>
      <w:r>
        <w:rPr>
          <w:rFonts w:ascii="Times New Roman" w:hAnsi="Times New Roman" w:eastAsia="仿宋_GB2312" w:cs="Times New Roman"/>
          <w:color w:val="000000"/>
          <w:kern w:val="2"/>
          <w:sz w:val="32"/>
          <w:szCs w:val="32"/>
        </w:rPr>
        <w:t>（此件主动公开）</w:t>
      </w:r>
    </w:p>
    <w:p>
      <w:pPr>
        <w:keepNext w:val="0"/>
        <w:keepLines w:val="0"/>
        <w:pageBreakBefore w:val="0"/>
        <w:widowControl w:val="0"/>
        <w:kinsoku/>
        <w:wordWrap/>
        <w:overflowPunct/>
        <w:topLinePunct w:val="0"/>
        <w:autoSpaceDE/>
        <w:autoSpaceDN/>
        <w:bidi w:val="0"/>
        <w:adjustRightInd/>
        <w:snapToGrid/>
        <w:spacing w:line="579" w:lineRule="exact"/>
        <w:ind w:right="0" w:firstLine="640" w:firstLineChars="200"/>
        <w:jc w:val="both"/>
        <w:textAlignment w:val="auto"/>
        <w:rPr>
          <w:rFonts w:ascii="Times New Roman" w:hAnsi="Times New Roman" w:eastAsia="仿宋_GB2312" w:cs="Times New Roman"/>
          <w:color w:val="000000"/>
          <w:kern w:val="2"/>
          <w:sz w:val="32"/>
          <w:szCs w:val="32"/>
        </w:rPr>
        <w:sectPr>
          <w:footerReference r:id="rId3" w:type="default"/>
          <w:pgSz w:w="11906" w:h="16838"/>
          <w:pgMar w:top="2098" w:right="1474" w:bottom="1984" w:left="1587" w:header="851" w:footer="1134" w:gutter="0"/>
          <w:pgNumType w:fmt="decimal" w:start="1"/>
          <w:cols w:space="0" w:num="1"/>
          <w:titlePg/>
          <w:rtlGutter w:val="0"/>
          <w:docGrid w:type="lines" w:linePitch="312" w:charSpace="0"/>
        </w:sectPr>
      </w:pPr>
      <w:r>
        <w:rPr>
          <w:rFonts w:ascii="Times New Roman" w:hAnsi="Times New Roman" w:eastAsia="仿宋_GB2312" w:cs="Times New Roman"/>
          <w:color w:val="000000"/>
          <w:kern w:val="2"/>
          <w:sz w:val="32"/>
          <w:szCs w:val="32"/>
        </w:rPr>
        <w:t>（联系单位：职工养老保险处）</w:t>
      </w:r>
    </w:p>
    <w:p>
      <w:pPr>
        <w:keepNext w:val="0"/>
        <w:keepLines w:val="0"/>
        <w:pageBreakBefore w:val="0"/>
        <w:widowControl w:val="0"/>
        <w:kinsoku/>
        <w:wordWrap/>
        <w:overflowPunct/>
        <w:topLinePunct w:val="0"/>
        <w:autoSpaceDE/>
        <w:autoSpaceDN/>
        <w:bidi w:val="0"/>
        <w:adjustRightInd/>
        <w:snapToGrid/>
        <w:spacing w:line="579" w:lineRule="exact"/>
        <w:ind w:right="0"/>
        <w:jc w:val="both"/>
        <w:textAlignment w:val="auto"/>
        <w:rPr>
          <w:rFonts w:hint="default" w:ascii="Times New Roman" w:hAnsi="Times New Roman" w:eastAsia="黑体" w:cs="Times New Roman"/>
          <w:color w:val="000000"/>
          <w:kern w:val="2"/>
          <w:sz w:val="32"/>
          <w:szCs w:val="32"/>
          <w:lang w:val="en-US" w:eastAsia="zh-CN"/>
        </w:rPr>
      </w:pPr>
      <w:r>
        <w:rPr>
          <w:rFonts w:hint="eastAsia" w:ascii="Times New Roman" w:hAnsi="Times New Roman" w:eastAsia="黑体" w:cs="Times New Roman"/>
          <w:color w:val="000000"/>
          <w:kern w:val="2"/>
          <w:sz w:val="32"/>
          <w:szCs w:val="32"/>
        </w:rPr>
        <w:t>附</w:t>
      </w:r>
      <w:r>
        <w:rPr>
          <w:rFonts w:hint="eastAsia" w:ascii="Times New Roman" w:hAnsi="Times New Roman" w:eastAsia="黑体" w:cs="Times New Roman"/>
          <w:color w:val="000000"/>
          <w:kern w:val="2"/>
          <w:sz w:val="32"/>
          <w:szCs w:val="32"/>
          <w:lang w:eastAsia="zh-CN"/>
        </w:rPr>
        <w:t>件</w:t>
      </w:r>
      <w:r>
        <w:rPr>
          <w:rFonts w:ascii="Times New Roman" w:hAnsi="Times New Roman" w:eastAsia="黑体" w:cs="Times New Roman"/>
          <w:color w:val="000000"/>
          <w:kern w:val="2"/>
          <w:sz w:val="32"/>
          <w:szCs w:val="32"/>
        </w:rPr>
        <w:t>1</w:t>
      </w:r>
    </w:p>
    <w:p>
      <w:pPr>
        <w:widowControl w:val="0"/>
        <w:spacing w:line="600" w:lineRule="exact"/>
        <w:jc w:val="center"/>
        <w:rPr>
          <w:rFonts w:ascii="Times New Roman" w:hAnsi="Times New Roman" w:eastAsia="方正小标宋简体" w:cs="Times New Roman"/>
          <w:color w:val="000000"/>
          <w:kern w:val="2"/>
          <w:sz w:val="44"/>
          <w:szCs w:val="44"/>
        </w:rPr>
      </w:pPr>
      <w:r>
        <w:rPr>
          <w:rFonts w:ascii="Times New Roman" w:hAnsi="Times New Roman" w:eastAsia="方正小标宋简体" w:cs="Times New Roman"/>
          <w:color w:val="000000"/>
          <w:kern w:val="2"/>
          <w:sz w:val="44"/>
          <w:szCs w:val="44"/>
        </w:rPr>
        <w:t>202</w:t>
      </w:r>
      <w:r>
        <w:rPr>
          <w:rFonts w:hint="eastAsia" w:ascii="Times New Roman" w:hAnsi="Times New Roman" w:eastAsia="方正小标宋简体" w:cs="Times New Roman"/>
          <w:color w:val="000000"/>
          <w:kern w:val="2"/>
          <w:sz w:val="44"/>
          <w:szCs w:val="44"/>
          <w:lang w:val="en-US" w:eastAsia="zh-CN"/>
        </w:rPr>
        <w:t>4</w:t>
      </w:r>
      <w:r>
        <w:rPr>
          <w:rFonts w:ascii="Times New Roman" w:hAnsi="Times New Roman" w:eastAsia="方正小标宋简体" w:cs="Times New Roman"/>
          <w:color w:val="000000"/>
          <w:kern w:val="2"/>
          <w:sz w:val="44"/>
          <w:szCs w:val="44"/>
        </w:rPr>
        <w:t>年调整退休人员基本养老金核对表</w:t>
      </w:r>
    </w:p>
    <w:p>
      <w:pPr>
        <w:widowControl w:val="0"/>
        <w:spacing w:line="600" w:lineRule="exact"/>
        <w:jc w:val="both"/>
        <w:rPr>
          <w:rFonts w:ascii="Times New Roman" w:hAnsi="Times New Roman" w:eastAsia="方正仿宋简体" w:cs="Times New Roman"/>
          <w:color w:val="000000"/>
          <w:kern w:val="2"/>
          <w:sz w:val="28"/>
          <w:szCs w:val="28"/>
        </w:rPr>
      </w:pPr>
      <w:r>
        <w:rPr>
          <w:rFonts w:ascii="Times New Roman" w:hAnsi="Times New Roman" w:eastAsia="方正仿宋简体" w:cs="Times New Roman"/>
          <w:color w:val="000000"/>
          <w:kern w:val="2"/>
          <w:sz w:val="28"/>
          <w:szCs w:val="28"/>
        </w:rPr>
        <w:t xml:space="preserve">核对单位（盖章）：            社保经办机构审核：（盖章）             </w:t>
      </w:r>
      <w:r>
        <w:rPr>
          <w:rFonts w:hint="eastAsia" w:ascii="Times New Roman" w:hAnsi="Times New Roman" w:eastAsia="方正仿宋简体" w:cs="Times New Roman"/>
          <w:color w:val="000000"/>
          <w:kern w:val="2"/>
          <w:sz w:val="28"/>
          <w:szCs w:val="28"/>
        </w:rPr>
        <w:t xml:space="preserve">  </w:t>
      </w:r>
      <w:r>
        <w:rPr>
          <w:rFonts w:ascii="Times New Roman" w:hAnsi="Times New Roman" w:eastAsia="方正仿宋简体" w:cs="Times New Roman"/>
          <w:color w:val="000000"/>
          <w:kern w:val="2"/>
          <w:sz w:val="28"/>
          <w:szCs w:val="28"/>
        </w:rPr>
        <w:t xml:space="preserve"> 填报日期：202</w:t>
      </w:r>
      <w:r>
        <w:rPr>
          <w:rFonts w:hint="eastAsia" w:ascii="Times New Roman" w:hAnsi="Times New Roman" w:eastAsia="方正仿宋简体" w:cs="Times New Roman"/>
          <w:color w:val="000000"/>
          <w:kern w:val="2"/>
          <w:sz w:val="28"/>
          <w:szCs w:val="28"/>
          <w:lang w:val="en-US" w:eastAsia="zh-CN"/>
        </w:rPr>
        <w:t>4</w:t>
      </w:r>
      <w:r>
        <w:rPr>
          <w:rFonts w:ascii="Times New Roman" w:hAnsi="Times New Roman" w:eastAsia="方正仿宋简体" w:cs="Times New Roman"/>
          <w:color w:val="000000"/>
          <w:kern w:val="2"/>
          <w:sz w:val="28"/>
          <w:szCs w:val="28"/>
        </w:rPr>
        <w:t>年  月  日</w:t>
      </w:r>
    </w:p>
    <w:tbl>
      <w:tblPr>
        <w:tblStyle w:val="17"/>
        <w:tblW w:w="0" w:type="auto"/>
        <w:jc w:val="center"/>
        <w:tblLayout w:type="fixed"/>
        <w:tblCellMar>
          <w:top w:w="0" w:type="dxa"/>
          <w:left w:w="108" w:type="dxa"/>
          <w:bottom w:w="0" w:type="dxa"/>
          <w:right w:w="108" w:type="dxa"/>
        </w:tblCellMar>
      </w:tblPr>
      <w:tblGrid>
        <w:gridCol w:w="378"/>
        <w:gridCol w:w="735"/>
        <w:gridCol w:w="865"/>
        <w:gridCol w:w="848"/>
        <w:gridCol w:w="539"/>
        <w:gridCol w:w="832"/>
        <w:gridCol w:w="799"/>
        <w:gridCol w:w="799"/>
        <w:gridCol w:w="555"/>
        <w:gridCol w:w="1062"/>
        <w:gridCol w:w="898"/>
        <w:gridCol w:w="769"/>
        <w:gridCol w:w="769"/>
        <w:gridCol w:w="855"/>
        <w:gridCol w:w="852"/>
        <w:gridCol w:w="855"/>
        <w:gridCol w:w="1218"/>
      </w:tblGrid>
      <w:tr>
        <w:tblPrEx>
          <w:tblCellMar>
            <w:top w:w="0" w:type="dxa"/>
            <w:left w:w="108" w:type="dxa"/>
            <w:bottom w:w="0" w:type="dxa"/>
            <w:right w:w="108" w:type="dxa"/>
          </w:tblCellMar>
        </w:tblPrEx>
        <w:trPr>
          <w:trHeight w:val="319" w:hRule="atLeast"/>
          <w:jc w:val="center"/>
        </w:trPr>
        <w:tc>
          <w:tcPr>
            <w:tcW w:w="378" w:type="dxa"/>
            <w:vMerge w:val="restart"/>
            <w:tcBorders>
              <w:top w:val="single" w:color="auto" w:sz="8" w:space="0"/>
              <w:left w:val="single" w:color="auto" w:sz="8"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序</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号</w:t>
            </w:r>
          </w:p>
        </w:tc>
        <w:tc>
          <w:tcPr>
            <w:tcW w:w="735" w:type="dxa"/>
            <w:vMerge w:val="restart"/>
            <w:tcBorders>
              <w:top w:val="single" w:color="auto" w:sz="8"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姓名</w:t>
            </w:r>
          </w:p>
        </w:tc>
        <w:tc>
          <w:tcPr>
            <w:tcW w:w="865" w:type="dxa"/>
            <w:vMerge w:val="restart"/>
            <w:tcBorders>
              <w:top w:val="single" w:color="auto" w:sz="8"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社会保障</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号码</w:t>
            </w:r>
          </w:p>
        </w:tc>
        <w:tc>
          <w:tcPr>
            <w:tcW w:w="848" w:type="dxa"/>
            <w:vMerge w:val="restart"/>
            <w:tcBorders>
              <w:top w:val="single" w:color="auto" w:sz="8"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养老保</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险个人</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编号</w:t>
            </w:r>
          </w:p>
        </w:tc>
        <w:tc>
          <w:tcPr>
            <w:tcW w:w="539" w:type="dxa"/>
            <w:vMerge w:val="restart"/>
            <w:tcBorders>
              <w:top w:val="single" w:color="auto" w:sz="8"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性</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别</w:t>
            </w:r>
          </w:p>
        </w:tc>
        <w:tc>
          <w:tcPr>
            <w:tcW w:w="832" w:type="dxa"/>
            <w:vMerge w:val="restart"/>
            <w:tcBorders>
              <w:top w:val="single" w:color="auto" w:sz="8"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出生</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年月</w:t>
            </w:r>
          </w:p>
        </w:tc>
        <w:tc>
          <w:tcPr>
            <w:tcW w:w="799" w:type="dxa"/>
            <w:vMerge w:val="restart"/>
            <w:tcBorders>
              <w:top w:val="single" w:color="auto" w:sz="8"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参加</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工作</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时间</w:t>
            </w:r>
          </w:p>
        </w:tc>
        <w:tc>
          <w:tcPr>
            <w:tcW w:w="799" w:type="dxa"/>
            <w:vMerge w:val="restart"/>
            <w:tcBorders>
              <w:top w:val="single" w:color="auto" w:sz="8"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退休</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时间</w:t>
            </w:r>
          </w:p>
        </w:tc>
        <w:tc>
          <w:tcPr>
            <w:tcW w:w="555" w:type="dxa"/>
            <w:vMerge w:val="restart"/>
            <w:tcBorders>
              <w:top w:val="single" w:color="auto" w:sz="8"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缴费</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年限</w:t>
            </w:r>
          </w:p>
        </w:tc>
        <w:tc>
          <w:tcPr>
            <w:tcW w:w="1062" w:type="dxa"/>
            <w:vMerge w:val="restart"/>
            <w:tcBorders>
              <w:top w:val="single" w:color="auto" w:sz="8"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202</w:t>
            </w:r>
            <w:r>
              <w:rPr>
                <w:rFonts w:hint="eastAsia" w:ascii="Times New Roman" w:hAnsi="Times New Roman" w:eastAsia="方正黑体_GBK" w:cs="Times New Roman"/>
                <w:color w:val="000000"/>
                <w:sz w:val="18"/>
                <w:szCs w:val="18"/>
                <w:lang w:val="en-US" w:eastAsia="zh-CN"/>
              </w:rPr>
              <w:t>3</w:t>
            </w:r>
            <w:r>
              <w:rPr>
                <w:rFonts w:ascii="Times New Roman" w:hAnsi="Times New Roman" w:eastAsia="方正黑体_GBK" w:cs="Times New Roman"/>
                <w:color w:val="000000"/>
                <w:sz w:val="18"/>
                <w:szCs w:val="18"/>
              </w:rPr>
              <w:t>年12月</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基本养老金</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（元）</w:t>
            </w:r>
          </w:p>
        </w:tc>
        <w:tc>
          <w:tcPr>
            <w:tcW w:w="898" w:type="dxa"/>
            <w:vMerge w:val="restart"/>
            <w:tcBorders>
              <w:top w:val="single" w:color="auto" w:sz="8" w:space="0"/>
              <w:left w:val="single" w:color="auto" w:sz="4" w:space="0"/>
              <w:bottom w:val="single" w:color="000000"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总调整额</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（元）</w:t>
            </w:r>
          </w:p>
        </w:tc>
        <w:tc>
          <w:tcPr>
            <w:tcW w:w="4100" w:type="dxa"/>
            <w:gridSpan w:val="5"/>
            <w:tcBorders>
              <w:top w:val="single" w:color="auto" w:sz="8" w:space="0"/>
              <w:bottom w:val="single" w:color="auto" w:sz="4" w:space="0"/>
              <w:right w:val="single" w:color="000000"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　</w:t>
            </w:r>
          </w:p>
        </w:tc>
        <w:tc>
          <w:tcPr>
            <w:tcW w:w="1218" w:type="dxa"/>
            <w:vMerge w:val="restart"/>
            <w:tcBorders>
              <w:top w:val="single" w:color="auto" w:sz="8" w:space="0"/>
              <w:left w:val="single" w:color="auto" w:sz="4" w:space="0"/>
              <w:bottom w:val="single" w:color="000000" w:sz="4" w:space="0"/>
              <w:right w:val="single" w:color="auto" w:sz="8"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202</w:t>
            </w:r>
            <w:r>
              <w:rPr>
                <w:rFonts w:hint="eastAsia" w:ascii="Times New Roman" w:hAnsi="Times New Roman" w:eastAsia="方正黑体_GBK" w:cs="Times New Roman"/>
                <w:color w:val="000000"/>
                <w:sz w:val="18"/>
                <w:szCs w:val="18"/>
                <w:lang w:val="en-US" w:eastAsia="zh-CN"/>
              </w:rPr>
              <w:t>4</w:t>
            </w:r>
            <w:r>
              <w:rPr>
                <w:rFonts w:ascii="Times New Roman" w:hAnsi="Times New Roman" w:eastAsia="方正黑体_GBK" w:cs="Times New Roman"/>
                <w:color w:val="000000"/>
                <w:sz w:val="18"/>
                <w:szCs w:val="18"/>
              </w:rPr>
              <w:t>年1月</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调整后基本</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养老金</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（元）</w:t>
            </w:r>
          </w:p>
        </w:tc>
      </w:tr>
      <w:tr>
        <w:tblPrEx>
          <w:tblCellMar>
            <w:top w:w="0" w:type="dxa"/>
            <w:left w:w="108" w:type="dxa"/>
            <w:bottom w:w="0" w:type="dxa"/>
            <w:right w:w="108" w:type="dxa"/>
          </w:tblCellMar>
        </w:tblPrEx>
        <w:trPr>
          <w:trHeight w:val="297" w:hRule="atLeast"/>
          <w:jc w:val="center"/>
        </w:trPr>
        <w:tc>
          <w:tcPr>
            <w:tcW w:w="378" w:type="dxa"/>
            <w:vMerge w:val="continue"/>
            <w:tcBorders>
              <w:top w:val="single" w:color="auto" w:sz="4" w:space="0"/>
              <w:left w:val="single" w:color="auto" w:sz="8"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735"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865"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848"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539"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832"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799"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799"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555"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1062"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898" w:type="dxa"/>
            <w:vMerge w:val="continue"/>
            <w:tcBorders>
              <w:top w:val="single" w:color="auto" w:sz="4" w:space="0"/>
              <w:left w:val="single" w:color="auto" w:sz="4" w:space="0"/>
              <w:bottom w:val="single" w:color="000000" w:sz="4" w:space="0"/>
              <w:right w:val="single" w:color="000000"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769" w:type="dxa"/>
            <w:vMerge w:val="restart"/>
            <w:tcBorders>
              <w:top w:val="nil"/>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定额调整</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（元）</w:t>
            </w:r>
          </w:p>
        </w:tc>
        <w:tc>
          <w:tcPr>
            <w:tcW w:w="769" w:type="dxa"/>
            <w:vMerge w:val="restart"/>
            <w:tcBorders>
              <w:top w:val="nil"/>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挂钩调整</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（元）</w:t>
            </w:r>
          </w:p>
        </w:tc>
        <w:tc>
          <w:tcPr>
            <w:tcW w:w="2562" w:type="dxa"/>
            <w:gridSpan w:val="3"/>
            <w:tcBorders>
              <w:top w:val="single" w:color="auto" w:sz="4" w:space="0"/>
              <w:left w:val="nil"/>
              <w:bottom w:val="single" w:color="auto" w:sz="4" w:space="0"/>
              <w:right w:val="single" w:color="000000"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倾斜调整（元）</w:t>
            </w:r>
          </w:p>
        </w:tc>
        <w:tc>
          <w:tcPr>
            <w:tcW w:w="1218" w:type="dxa"/>
            <w:vMerge w:val="continue"/>
            <w:tcBorders>
              <w:top w:val="single" w:color="auto" w:sz="4" w:space="0"/>
              <w:left w:val="single" w:color="auto" w:sz="4" w:space="0"/>
              <w:bottom w:val="single" w:color="000000" w:sz="4" w:space="0"/>
              <w:right w:val="single" w:color="auto" w:sz="8"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r>
      <w:tr>
        <w:tblPrEx>
          <w:tblCellMar>
            <w:top w:w="0" w:type="dxa"/>
            <w:left w:w="108" w:type="dxa"/>
            <w:bottom w:w="0" w:type="dxa"/>
            <w:right w:w="108" w:type="dxa"/>
          </w:tblCellMar>
        </w:tblPrEx>
        <w:trPr>
          <w:trHeight w:val="512" w:hRule="atLeast"/>
          <w:jc w:val="center"/>
        </w:trPr>
        <w:tc>
          <w:tcPr>
            <w:tcW w:w="378" w:type="dxa"/>
            <w:vMerge w:val="continue"/>
            <w:tcBorders>
              <w:top w:val="single" w:color="auto" w:sz="4" w:space="0"/>
              <w:left w:val="single" w:color="auto" w:sz="8"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735"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865"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848"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539"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832"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799"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799"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555"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1062" w:type="dxa"/>
            <w:vMerge w:val="continue"/>
            <w:tcBorders>
              <w:top w:val="single" w:color="auto" w:sz="4" w:space="0"/>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898" w:type="dxa"/>
            <w:vMerge w:val="continue"/>
            <w:tcBorders>
              <w:top w:val="single" w:color="auto" w:sz="4" w:space="0"/>
              <w:left w:val="single" w:color="auto" w:sz="4" w:space="0"/>
              <w:bottom w:val="single" w:color="000000" w:sz="4" w:space="0"/>
              <w:right w:val="single" w:color="000000"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769"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769"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70岁-</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79岁</w:t>
            </w:r>
          </w:p>
        </w:tc>
        <w:tc>
          <w:tcPr>
            <w:tcW w:w="852"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80岁及</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以上</w:t>
            </w:r>
          </w:p>
        </w:tc>
        <w:tc>
          <w:tcPr>
            <w:tcW w:w="855"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艰苦</w:t>
            </w:r>
          </w:p>
          <w:p>
            <w:pPr>
              <w:spacing w:line="240" w:lineRule="exact"/>
              <w:jc w:val="center"/>
              <w:rPr>
                <w:rFonts w:ascii="Times New Roman" w:hAnsi="Times New Roman" w:eastAsia="方正黑体_GBK" w:cs="Times New Roman"/>
                <w:color w:val="000000"/>
                <w:sz w:val="18"/>
                <w:szCs w:val="18"/>
              </w:rPr>
            </w:pPr>
            <w:r>
              <w:rPr>
                <w:rFonts w:ascii="Times New Roman" w:hAnsi="Times New Roman" w:eastAsia="方正黑体_GBK" w:cs="Times New Roman"/>
                <w:color w:val="000000"/>
                <w:sz w:val="18"/>
                <w:szCs w:val="18"/>
              </w:rPr>
              <w:t>边远</w:t>
            </w:r>
          </w:p>
        </w:tc>
        <w:tc>
          <w:tcPr>
            <w:tcW w:w="1218" w:type="dxa"/>
            <w:vMerge w:val="continue"/>
            <w:tcBorders>
              <w:top w:val="single" w:color="auto" w:sz="4" w:space="0"/>
              <w:left w:val="single" w:color="auto" w:sz="4" w:space="0"/>
              <w:bottom w:val="single" w:color="000000" w:sz="4" w:space="0"/>
              <w:right w:val="single" w:color="auto" w:sz="8" w:space="0"/>
            </w:tcBorders>
            <w:noWrap w:val="0"/>
            <w:tcMar>
              <w:left w:w="0" w:type="dxa"/>
              <w:right w:w="0" w:type="dxa"/>
            </w:tcMar>
            <w:vAlign w:val="center"/>
          </w:tcPr>
          <w:p>
            <w:pPr>
              <w:spacing w:line="240" w:lineRule="exact"/>
              <w:jc w:val="center"/>
              <w:rPr>
                <w:rFonts w:ascii="Times New Roman" w:hAnsi="Times New Roman" w:eastAsia="方正黑体_GBK" w:cs="Times New Roman"/>
                <w:color w:val="000000"/>
                <w:sz w:val="18"/>
                <w:szCs w:val="18"/>
              </w:rPr>
            </w:pPr>
          </w:p>
        </w:tc>
      </w:tr>
      <w:tr>
        <w:tblPrEx>
          <w:tblCellMar>
            <w:top w:w="0" w:type="dxa"/>
            <w:left w:w="108" w:type="dxa"/>
            <w:bottom w:w="0" w:type="dxa"/>
            <w:right w:w="108" w:type="dxa"/>
          </w:tblCellMar>
        </w:tblPrEx>
        <w:trPr>
          <w:trHeight w:val="435" w:hRule="atLeast"/>
          <w:jc w:val="center"/>
        </w:trPr>
        <w:tc>
          <w:tcPr>
            <w:tcW w:w="378" w:type="dxa"/>
            <w:tcBorders>
              <w:top w:val="nil"/>
              <w:left w:val="single" w:color="auto" w:sz="8" w:space="0"/>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1</w:t>
            </w:r>
          </w:p>
        </w:tc>
        <w:tc>
          <w:tcPr>
            <w:tcW w:w="735"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865"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848"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539"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832"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555"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1062"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898"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852"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c>
          <w:tcPr>
            <w:tcW w:w="1218" w:type="dxa"/>
            <w:tcBorders>
              <w:top w:val="nil"/>
              <w:left w:val="nil"/>
              <w:bottom w:val="single" w:color="auto" w:sz="4" w:space="0"/>
              <w:right w:val="single" w:color="auto" w:sz="8" w:space="0"/>
            </w:tcBorders>
            <w:noWrap w:val="0"/>
            <w:tcMar>
              <w:left w:w="0" w:type="dxa"/>
              <w:right w:w="0" w:type="dxa"/>
            </w:tcMar>
            <w:vAlign w:val="center"/>
          </w:tcPr>
          <w:p>
            <w:pPr>
              <w:spacing w:line="240" w:lineRule="exact"/>
              <w:jc w:val="center"/>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435" w:hRule="atLeast"/>
          <w:jc w:val="center"/>
        </w:trPr>
        <w:tc>
          <w:tcPr>
            <w:tcW w:w="378" w:type="dxa"/>
            <w:tcBorders>
              <w:top w:val="nil"/>
              <w:left w:val="single" w:color="auto" w:sz="8" w:space="0"/>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73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6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4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3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3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06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9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218" w:type="dxa"/>
            <w:tcBorders>
              <w:top w:val="nil"/>
              <w:left w:val="nil"/>
              <w:bottom w:val="single" w:color="auto" w:sz="4" w:space="0"/>
              <w:right w:val="single" w:color="auto" w:sz="8" w:space="0"/>
            </w:tcBorders>
            <w:noWrap w:val="0"/>
            <w:tcMar>
              <w:left w:w="0" w:type="dxa"/>
              <w:right w:w="0" w:type="dxa"/>
            </w:tcMar>
            <w:vAlign w:val="center"/>
          </w:tcPr>
          <w:p>
            <w:pPr>
              <w:jc w:val="center"/>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60" w:hRule="atLeast"/>
          <w:jc w:val="center"/>
        </w:trPr>
        <w:tc>
          <w:tcPr>
            <w:tcW w:w="378" w:type="dxa"/>
            <w:tcBorders>
              <w:top w:val="nil"/>
              <w:left w:val="single" w:color="auto" w:sz="8" w:space="0"/>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73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6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4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3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3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06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9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218" w:type="dxa"/>
            <w:tcBorders>
              <w:top w:val="nil"/>
              <w:left w:val="nil"/>
              <w:bottom w:val="single" w:color="auto" w:sz="4" w:space="0"/>
              <w:right w:val="single" w:color="auto" w:sz="8" w:space="0"/>
            </w:tcBorders>
            <w:noWrap w:val="0"/>
            <w:tcMar>
              <w:left w:w="0" w:type="dxa"/>
              <w:right w:w="0" w:type="dxa"/>
            </w:tcMar>
            <w:vAlign w:val="center"/>
          </w:tcPr>
          <w:p>
            <w:pPr>
              <w:jc w:val="center"/>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30" w:hRule="atLeast"/>
          <w:jc w:val="center"/>
        </w:trPr>
        <w:tc>
          <w:tcPr>
            <w:tcW w:w="378" w:type="dxa"/>
            <w:tcBorders>
              <w:top w:val="nil"/>
              <w:left w:val="single" w:color="auto" w:sz="8" w:space="0"/>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r>
              <w:rPr>
                <w:rFonts w:ascii="Times New Roman" w:hAnsi="Times New Roman" w:cs="Times New Roman"/>
                <w:color w:val="000000"/>
                <w:sz w:val="18"/>
                <w:szCs w:val="18"/>
              </w:rPr>
              <w:t>4</w:t>
            </w:r>
          </w:p>
        </w:tc>
        <w:tc>
          <w:tcPr>
            <w:tcW w:w="73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6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4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3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3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06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9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218" w:type="dxa"/>
            <w:tcBorders>
              <w:top w:val="nil"/>
              <w:left w:val="nil"/>
              <w:bottom w:val="single" w:color="auto" w:sz="4" w:space="0"/>
              <w:right w:val="single" w:color="auto" w:sz="8" w:space="0"/>
            </w:tcBorders>
            <w:noWrap w:val="0"/>
            <w:tcMar>
              <w:left w:w="0" w:type="dxa"/>
              <w:right w:w="0" w:type="dxa"/>
            </w:tcMar>
            <w:vAlign w:val="center"/>
          </w:tcPr>
          <w:p>
            <w:pPr>
              <w:jc w:val="center"/>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45" w:hRule="atLeast"/>
          <w:jc w:val="center"/>
        </w:trPr>
        <w:tc>
          <w:tcPr>
            <w:tcW w:w="378" w:type="dxa"/>
            <w:tcBorders>
              <w:top w:val="nil"/>
              <w:left w:val="single" w:color="auto" w:sz="8" w:space="0"/>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r>
              <w:rPr>
                <w:rFonts w:ascii="Times New Roman" w:hAnsi="Times New Roman" w:cs="Times New Roman"/>
                <w:color w:val="000000"/>
                <w:sz w:val="18"/>
                <w:szCs w:val="18"/>
              </w:rPr>
              <w:t>5</w:t>
            </w:r>
          </w:p>
        </w:tc>
        <w:tc>
          <w:tcPr>
            <w:tcW w:w="73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6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4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3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3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06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9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218" w:type="dxa"/>
            <w:tcBorders>
              <w:top w:val="nil"/>
              <w:left w:val="nil"/>
              <w:bottom w:val="single" w:color="auto" w:sz="4" w:space="0"/>
              <w:right w:val="single" w:color="auto" w:sz="8" w:space="0"/>
            </w:tcBorders>
            <w:noWrap w:val="0"/>
            <w:tcMar>
              <w:left w:w="0" w:type="dxa"/>
              <w:right w:w="0" w:type="dxa"/>
            </w:tcMar>
            <w:vAlign w:val="center"/>
          </w:tcPr>
          <w:p>
            <w:pPr>
              <w:jc w:val="center"/>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60" w:hRule="atLeast"/>
          <w:jc w:val="center"/>
        </w:trPr>
        <w:tc>
          <w:tcPr>
            <w:tcW w:w="378" w:type="dxa"/>
            <w:tcBorders>
              <w:top w:val="nil"/>
              <w:left w:val="single" w:color="auto" w:sz="8" w:space="0"/>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r>
              <w:rPr>
                <w:rFonts w:ascii="Times New Roman" w:hAnsi="Times New Roman" w:cs="Times New Roman"/>
                <w:color w:val="000000"/>
                <w:sz w:val="18"/>
                <w:szCs w:val="18"/>
              </w:rPr>
              <w:t>6</w:t>
            </w:r>
          </w:p>
        </w:tc>
        <w:tc>
          <w:tcPr>
            <w:tcW w:w="73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6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4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3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3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06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9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218" w:type="dxa"/>
            <w:tcBorders>
              <w:top w:val="nil"/>
              <w:left w:val="nil"/>
              <w:bottom w:val="single" w:color="auto" w:sz="4" w:space="0"/>
              <w:right w:val="single" w:color="auto" w:sz="8" w:space="0"/>
            </w:tcBorders>
            <w:noWrap w:val="0"/>
            <w:tcMar>
              <w:left w:w="0" w:type="dxa"/>
              <w:right w:w="0" w:type="dxa"/>
            </w:tcMar>
            <w:vAlign w:val="center"/>
          </w:tcPr>
          <w:p>
            <w:pPr>
              <w:jc w:val="center"/>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75" w:hRule="atLeast"/>
          <w:jc w:val="center"/>
        </w:trPr>
        <w:tc>
          <w:tcPr>
            <w:tcW w:w="378" w:type="dxa"/>
            <w:tcBorders>
              <w:top w:val="nil"/>
              <w:left w:val="single" w:color="auto" w:sz="8" w:space="0"/>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r>
              <w:rPr>
                <w:rFonts w:ascii="Times New Roman" w:hAnsi="Times New Roman" w:cs="Times New Roman"/>
                <w:color w:val="000000"/>
                <w:sz w:val="18"/>
                <w:szCs w:val="18"/>
              </w:rPr>
              <w:t>7</w:t>
            </w:r>
          </w:p>
        </w:tc>
        <w:tc>
          <w:tcPr>
            <w:tcW w:w="73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6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4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3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3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06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9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218" w:type="dxa"/>
            <w:tcBorders>
              <w:top w:val="nil"/>
              <w:left w:val="nil"/>
              <w:bottom w:val="single" w:color="auto" w:sz="4" w:space="0"/>
              <w:right w:val="single" w:color="auto" w:sz="8" w:space="0"/>
            </w:tcBorders>
            <w:noWrap w:val="0"/>
            <w:tcMar>
              <w:left w:w="0" w:type="dxa"/>
              <w:right w:w="0" w:type="dxa"/>
            </w:tcMar>
            <w:vAlign w:val="center"/>
          </w:tcPr>
          <w:p>
            <w:pPr>
              <w:jc w:val="center"/>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435" w:hRule="atLeast"/>
          <w:jc w:val="center"/>
        </w:trPr>
        <w:tc>
          <w:tcPr>
            <w:tcW w:w="378" w:type="dxa"/>
            <w:tcBorders>
              <w:top w:val="nil"/>
              <w:left w:val="single" w:color="auto" w:sz="8" w:space="0"/>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r>
              <w:rPr>
                <w:rFonts w:ascii="Times New Roman" w:hAnsi="Times New Roman" w:cs="Times New Roman"/>
                <w:color w:val="000000"/>
                <w:sz w:val="18"/>
                <w:szCs w:val="18"/>
              </w:rPr>
              <w:t>8</w:t>
            </w:r>
          </w:p>
        </w:tc>
        <w:tc>
          <w:tcPr>
            <w:tcW w:w="73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6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4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3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3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06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9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218" w:type="dxa"/>
            <w:tcBorders>
              <w:top w:val="nil"/>
              <w:left w:val="nil"/>
              <w:bottom w:val="single" w:color="auto" w:sz="4" w:space="0"/>
              <w:right w:val="single" w:color="auto" w:sz="8" w:space="0"/>
            </w:tcBorders>
            <w:noWrap w:val="0"/>
            <w:tcMar>
              <w:left w:w="0" w:type="dxa"/>
              <w:right w:w="0" w:type="dxa"/>
            </w:tcMar>
            <w:vAlign w:val="center"/>
          </w:tcPr>
          <w:p>
            <w:pPr>
              <w:jc w:val="center"/>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15" w:hRule="atLeast"/>
          <w:jc w:val="center"/>
        </w:trPr>
        <w:tc>
          <w:tcPr>
            <w:tcW w:w="378" w:type="dxa"/>
            <w:tcBorders>
              <w:top w:val="nil"/>
              <w:left w:val="single" w:color="auto" w:sz="8" w:space="0"/>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r>
              <w:rPr>
                <w:rFonts w:ascii="Times New Roman" w:hAnsi="Times New Roman" w:cs="Times New Roman"/>
                <w:color w:val="000000"/>
                <w:sz w:val="18"/>
                <w:szCs w:val="18"/>
              </w:rPr>
              <w:t>9</w:t>
            </w:r>
          </w:p>
        </w:tc>
        <w:tc>
          <w:tcPr>
            <w:tcW w:w="73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6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4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3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3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06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9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218" w:type="dxa"/>
            <w:tcBorders>
              <w:top w:val="nil"/>
              <w:left w:val="nil"/>
              <w:bottom w:val="single" w:color="auto" w:sz="4" w:space="0"/>
              <w:right w:val="single" w:color="auto" w:sz="8" w:space="0"/>
            </w:tcBorders>
            <w:noWrap w:val="0"/>
            <w:tcMar>
              <w:left w:w="0" w:type="dxa"/>
              <w:right w:w="0" w:type="dxa"/>
            </w:tcMar>
            <w:vAlign w:val="center"/>
          </w:tcPr>
          <w:p>
            <w:pPr>
              <w:jc w:val="center"/>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30" w:hRule="atLeast"/>
          <w:jc w:val="center"/>
        </w:trPr>
        <w:tc>
          <w:tcPr>
            <w:tcW w:w="378" w:type="dxa"/>
            <w:tcBorders>
              <w:top w:val="nil"/>
              <w:left w:val="single" w:color="auto" w:sz="8" w:space="0"/>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r>
              <w:rPr>
                <w:rFonts w:ascii="Times New Roman" w:hAnsi="Times New Roman" w:cs="Times New Roman"/>
                <w:color w:val="000000"/>
                <w:sz w:val="18"/>
                <w:szCs w:val="18"/>
              </w:rPr>
              <w:t>10</w:t>
            </w:r>
          </w:p>
        </w:tc>
        <w:tc>
          <w:tcPr>
            <w:tcW w:w="73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6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4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3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3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06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98"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2"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4"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218" w:type="dxa"/>
            <w:tcBorders>
              <w:top w:val="nil"/>
              <w:left w:val="nil"/>
              <w:bottom w:val="single" w:color="auto" w:sz="4" w:space="0"/>
              <w:right w:val="single" w:color="auto" w:sz="8" w:space="0"/>
            </w:tcBorders>
            <w:noWrap w:val="0"/>
            <w:tcMar>
              <w:left w:w="0" w:type="dxa"/>
              <w:right w:w="0" w:type="dxa"/>
            </w:tcMar>
            <w:vAlign w:val="center"/>
          </w:tcPr>
          <w:p>
            <w:pPr>
              <w:jc w:val="center"/>
              <w:rPr>
                <w:rFonts w:ascii="Times New Roman" w:hAnsi="Times New Roman" w:cs="Times New Roman"/>
                <w:color w:val="000000"/>
                <w:sz w:val="18"/>
                <w:szCs w:val="18"/>
              </w:rPr>
            </w:pPr>
          </w:p>
        </w:tc>
      </w:tr>
      <w:tr>
        <w:tblPrEx>
          <w:tblCellMar>
            <w:top w:w="0" w:type="dxa"/>
            <w:left w:w="108" w:type="dxa"/>
            <w:bottom w:w="0" w:type="dxa"/>
            <w:right w:w="108" w:type="dxa"/>
          </w:tblCellMar>
        </w:tblPrEx>
        <w:trPr>
          <w:trHeight w:val="389" w:hRule="atLeast"/>
          <w:jc w:val="center"/>
        </w:trPr>
        <w:tc>
          <w:tcPr>
            <w:tcW w:w="1113" w:type="dxa"/>
            <w:gridSpan w:val="2"/>
            <w:tcBorders>
              <w:top w:val="single" w:color="auto" w:sz="4" w:space="0"/>
              <w:left w:val="single" w:color="auto" w:sz="8" w:space="0"/>
              <w:bottom w:val="single" w:color="auto" w:sz="8" w:space="0"/>
              <w:right w:val="single" w:color="000000" w:sz="4" w:space="0"/>
            </w:tcBorders>
            <w:noWrap w:val="0"/>
            <w:tcMar>
              <w:left w:w="0" w:type="dxa"/>
              <w:right w:w="0" w:type="dxa"/>
            </w:tcMar>
            <w:vAlign w:val="center"/>
          </w:tcPr>
          <w:p>
            <w:pPr>
              <w:jc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sz w:val="18"/>
                <w:szCs w:val="18"/>
              </w:rPr>
              <w:t>合计</w:t>
            </w:r>
          </w:p>
        </w:tc>
        <w:tc>
          <w:tcPr>
            <w:tcW w:w="865" w:type="dxa"/>
            <w:tcBorders>
              <w:top w:val="nil"/>
              <w:left w:val="nil"/>
              <w:bottom w:val="single" w:color="auto" w:sz="8"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48" w:type="dxa"/>
            <w:tcBorders>
              <w:top w:val="nil"/>
              <w:left w:val="nil"/>
              <w:bottom w:val="single" w:color="auto" w:sz="8"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39" w:type="dxa"/>
            <w:tcBorders>
              <w:top w:val="nil"/>
              <w:left w:val="nil"/>
              <w:bottom w:val="single" w:color="auto" w:sz="8"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32" w:type="dxa"/>
            <w:tcBorders>
              <w:top w:val="nil"/>
              <w:left w:val="nil"/>
              <w:bottom w:val="single" w:color="auto" w:sz="8"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8"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99" w:type="dxa"/>
            <w:tcBorders>
              <w:top w:val="nil"/>
              <w:left w:val="nil"/>
              <w:bottom w:val="single" w:color="auto" w:sz="8"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555" w:type="dxa"/>
            <w:tcBorders>
              <w:top w:val="nil"/>
              <w:left w:val="nil"/>
              <w:bottom w:val="single" w:color="auto" w:sz="8"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062" w:type="dxa"/>
            <w:tcBorders>
              <w:top w:val="nil"/>
              <w:left w:val="nil"/>
              <w:bottom w:val="single" w:color="auto" w:sz="8"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98" w:type="dxa"/>
            <w:tcBorders>
              <w:top w:val="nil"/>
              <w:left w:val="nil"/>
              <w:bottom w:val="single" w:color="auto" w:sz="8"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8"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769" w:type="dxa"/>
            <w:tcBorders>
              <w:top w:val="nil"/>
              <w:left w:val="nil"/>
              <w:bottom w:val="single" w:color="auto" w:sz="8"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8"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2" w:type="dxa"/>
            <w:tcBorders>
              <w:top w:val="nil"/>
              <w:left w:val="nil"/>
              <w:bottom w:val="single" w:color="auto" w:sz="8"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855" w:type="dxa"/>
            <w:tcBorders>
              <w:top w:val="nil"/>
              <w:left w:val="nil"/>
              <w:bottom w:val="single" w:color="auto" w:sz="8" w:space="0"/>
              <w:right w:val="single" w:color="auto" w:sz="4" w:space="0"/>
            </w:tcBorders>
            <w:noWrap w:val="0"/>
            <w:tcMar>
              <w:left w:w="0" w:type="dxa"/>
              <w:right w:w="0" w:type="dxa"/>
            </w:tcMar>
            <w:vAlign w:val="center"/>
          </w:tcPr>
          <w:p>
            <w:pPr>
              <w:jc w:val="center"/>
              <w:rPr>
                <w:rFonts w:ascii="Times New Roman" w:hAnsi="Times New Roman" w:cs="Times New Roman"/>
                <w:color w:val="000000"/>
                <w:sz w:val="18"/>
                <w:szCs w:val="18"/>
              </w:rPr>
            </w:pPr>
          </w:p>
        </w:tc>
        <w:tc>
          <w:tcPr>
            <w:tcW w:w="1218" w:type="dxa"/>
            <w:tcBorders>
              <w:top w:val="nil"/>
              <w:left w:val="nil"/>
              <w:bottom w:val="single" w:color="auto" w:sz="8" w:space="0"/>
              <w:right w:val="single" w:color="auto" w:sz="8" w:space="0"/>
            </w:tcBorders>
            <w:noWrap w:val="0"/>
            <w:tcMar>
              <w:left w:w="0" w:type="dxa"/>
              <w:right w:w="0" w:type="dxa"/>
            </w:tcMar>
            <w:vAlign w:val="center"/>
          </w:tcPr>
          <w:p>
            <w:pPr>
              <w:jc w:val="center"/>
              <w:rPr>
                <w:rFonts w:ascii="Times New Roman" w:hAnsi="Times New Roman" w:cs="Times New Roman"/>
                <w:color w:val="000000"/>
                <w:sz w:val="18"/>
                <w:szCs w:val="18"/>
              </w:rPr>
            </w:pPr>
          </w:p>
        </w:tc>
      </w:tr>
    </w:tbl>
    <w:p>
      <w:pPr>
        <w:widowControl w:val="0"/>
        <w:spacing w:line="600" w:lineRule="exact"/>
        <w:ind w:firstLine="560" w:firstLineChars="200"/>
        <w:jc w:val="both"/>
        <w:rPr>
          <w:rFonts w:ascii="Times New Roman" w:hAnsi="Times New Roman" w:eastAsia="方正楷体简体" w:cs="Times New Roman"/>
          <w:color w:val="000000"/>
          <w:kern w:val="2"/>
          <w:sz w:val="28"/>
          <w:szCs w:val="28"/>
        </w:rPr>
      </w:pPr>
      <w:r>
        <w:rPr>
          <w:rFonts w:ascii="Times New Roman" w:hAnsi="Times New Roman" w:eastAsia="黑体" w:cs="Times New Roman"/>
          <w:color w:val="000000"/>
          <w:kern w:val="2"/>
          <w:sz w:val="28"/>
          <w:szCs w:val="28"/>
        </w:rPr>
        <w:t>注：</w:t>
      </w:r>
      <w:r>
        <w:rPr>
          <w:rFonts w:ascii="Times New Roman" w:hAnsi="Times New Roman" w:eastAsia="方正楷体简体" w:cs="Times New Roman"/>
          <w:color w:val="000000"/>
          <w:kern w:val="2"/>
          <w:sz w:val="28"/>
          <w:szCs w:val="28"/>
        </w:rPr>
        <w:t>此表一式二份，审批后由核对单位和社会保险经办机构各存一份。</w:t>
      </w:r>
    </w:p>
    <w:p>
      <w:pPr>
        <w:widowControl w:val="0"/>
        <w:spacing w:line="600" w:lineRule="exact"/>
        <w:ind w:firstLine="640" w:firstLineChars="200"/>
        <w:jc w:val="both"/>
        <w:rPr>
          <w:rFonts w:hint="eastAsia" w:ascii="Times New Roman" w:hAnsi="Times New Roman" w:eastAsia="黑体" w:cs="Times New Roman"/>
          <w:color w:val="000000"/>
          <w:kern w:val="2"/>
          <w:sz w:val="32"/>
          <w:szCs w:val="32"/>
          <w:lang w:val="en-US" w:eastAsia="zh-CN"/>
        </w:rPr>
      </w:pPr>
    </w:p>
    <w:p>
      <w:pPr>
        <w:widowControl w:val="0"/>
        <w:spacing w:line="600" w:lineRule="exact"/>
        <w:jc w:val="both"/>
        <w:rPr>
          <w:rFonts w:ascii="Times New Roman" w:hAnsi="Times New Roman" w:eastAsia="黑体" w:cs="Times New Roman"/>
          <w:color w:val="000000"/>
          <w:kern w:val="2"/>
          <w:sz w:val="32"/>
          <w:szCs w:val="32"/>
        </w:rPr>
      </w:pPr>
      <w:r>
        <w:rPr>
          <w:rFonts w:hint="eastAsia" w:ascii="Times New Roman" w:hAnsi="Times New Roman" w:eastAsia="黑体" w:cs="Times New Roman"/>
          <w:color w:val="000000"/>
          <w:kern w:val="2"/>
          <w:sz w:val="32"/>
          <w:szCs w:val="32"/>
          <w:lang w:val="en-US" w:eastAsia="zh-CN"/>
        </w:rPr>
        <w:t>附件</w:t>
      </w:r>
      <w:r>
        <w:rPr>
          <w:rFonts w:ascii="Times New Roman" w:hAnsi="Times New Roman" w:eastAsia="黑体" w:cs="Times New Roman"/>
          <w:color w:val="000000"/>
          <w:kern w:val="2"/>
          <w:sz w:val="32"/>
          <w:szCs w:val="32"/>
        </w:rPr>
        <w:t>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Times New Roman"/>
          <w:color w:val="000000"/>
          <w:kern w:val="2"/>
          <w:sz w:val="44"/>
          <w:szCs w:val="44"/>
        </w:rPr>
      </w:pPr>
      <w:r>
        <w:rPr>
          <w:rFonts w:ascii="Times New Roman" w:hAnsi="Times New Roman" w:eastAsia="方正小标宋简体" w:cs="Times New Roman"/>
          <w:color w:val="000000"/>
          <w:kern w:val="2"/>
          <w:sz w:val="44"/>
          <w:szCs w:val="44"/>
        </w:rPr>
        <w:t>202</w:t>
      </w:r>
      <w:r>
        <w:rPr>
          <w:rFonts w:hint="eastAsia" w:ascii="Times New Roman" w:hAnsi="Times New Roman" w:eastAsia="方正小标宋简体" w:cs="Times New Roman"/>
          <w:color w:val="000000"/>
          <w:kern w:val="2"/>
          <w:sz w:val="44"/>
          <w:szCs w:val="44"/>
          <w:lang w:val="en-US" w:eastAsia="zh-CN"/>
        </w:rPr>
        <w:t>4</w:t>
      </w:r>
      <w:r>
        <w:rPr>
          <w:rFonts w:ascii="Times New Roman" w:hAnsi="Times New Roman" w:eastAsia="方正小标宋简体" w:cs="Times New Roman"/>
          <w:color w:val="000000"/>
          <w:kern w:val="2"/>
          <w:sz w:val="44"/>
          <w:szCs w:val="44"/>
        </w:rPr>
        <w:t>年调整退休人员基本养老金情况汇总表</w:t>
      </w:r>
    </w:p>
    <w:p>
      <w:pPr>
        <w:widowControl w:val="0"/>
        <w:spacing w:line="600" w:lineRule="exact"/>
        <w:jc w:val="both"/>
        <w:rPr>
          <w:rFonts w:hint="eastAsia"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填报单位：（章）                                                         填报日期：202</w:t>
      </w:r>
      <w:r>
        <w:rPr>
          <w:rFonts w:hint="eastAsia" w:ascii="仿宋_GB2312" w:hAnsi="仿宋_GB2312" w:eastAsia="仿宋_GB2312" w:cs="仿宋_GB2312"/>
          <w:color w:val="000000"/>
          <w:kern w:val="2"/>
          <w:sz w:val="28"/>
          <w:szCs w:val="28"/>
          <w:lang w:val="en-US" w:eastAsia="zh-CN"/>
        </w:rPr>
        <w:t>4</w:t>
      </w:r>
      <w:r>
        <w:rPr>
          <w:rFonts w:hint="eastAsia" w:ascii="仿宋_GB2312" w:hAnsi="仿宋_GB2312" w:eastAsia="仿宋_GB2312" w:cs="仿宋_GB2312"/>
          <w:color w:val="000000"/>
          <w:kern w:val="2"/>
          <w:sz w:val="28"/>
          <w:szCs w:val="28"/>
        </w:rPr>
        <w:t>年  月  日</w:t>
      </w:r>
    </w:p>
    <w:tbl>
      <w:tblPr>
        <w:tblStyle w:val="17"/>
        <w:tblW w:w="0" w:type="auto"/>
        <w:jc w:val="center"/>
        <w:tblLayout w:type="fixed"/>
        <w:tblCellMar>
          <w:top w:w="0" w:type="dxa"/>
          <w:left w:w="0" w:type="dxa"/>
          <w:bottom w:w="0" w:type="dxa"/>
          <w:right w:w="0" w:type="dxa"/>
        </w:tblCellMar>
      </w:tblPr>
      <w:tblGrid>
        <w:gridCol w:w="632"/>
        <w:gridCol w:w="1581"/>
        <w:gridCol w:w="860"/>
        <w:gridCol w:w="944"/>
        <w:gridCol w:w="999"/>
        <w:gridCol w:w="865"/>
        <w:gridCol w:w="932"/>
        <w:gridCol w:w="932"/>
        <w:gridCol w:w="1036"/>
        <w:gridCol w:w="828"/>
        <w:gridCol w:w="932"/>
        <w:gridCol w:w="920"/>
        <w:gridCol w:w="1085"/>
        <w:gridCol w:w="932"/>
      </w:tblGrid>
      <w:tr>
        <w:tblPrEx>
          <w:tblCellMar>
            <w:top w:w="0" w:type="dxa"/>
            <w:left w:w="0" w:type="dxa"/>
            <w:bottom w:w="0" w:type="dxa"/>
            <w:right w:w="0" w:type="dxa"/>
          </w:tblCellMar>
        </w:tblPrEx>
        <w:trPr>
          <w:trHeight w:val="284" w:hRule="atLeast"/>
          <w:jc w:val="center"/>
        </w:trPr>
        <w:tc>
          <w:tcPr>
            <w:tcW w:w="2213" w:type="dxa"/>
            <w:gridSpan w:val="2"/>
            <w:vMerge w:val="restart"/>
            <w:tcBorders>
              <w:top w:val="single" w:color="auto" w:sz="8" w:space="0"/>
              <w:left w:val="single" w:color="auto" w:sz="8" w:space="0"/>
              <w:right w:val="single" w:color="000000" w:sz="4" w:space="0"/>
            </w:tcBorders>
            <w:noWrap w:val="0"/>
            <w:vAlign w:val="bottom"/>
          </w:tcPr>
          <w:p>
            <w:pPr>
              <w:spacing w:line="240" w:lineRule="exact"/>
              <w:jc w:val="center"/>
              <w:rPr>
                <w:rFonts w:ascii="Times New Roman" w:hAnsi="Times New Roman" w:eastAsia="方正黑体_GBK" w:cs="Times New Roman"/>
                <w:color w:val="000000"/>
                <w:sz w:val="20"/>
                <w:szCs w:val="20"/>
              </w:rPr>
            </w:pPr>
          </w:p>
        </w:tc>
        <w:tc>
          <w:tcPr>
            <w:tcW w:w="3668" w:type="dxa"/>
            <w:gridSpan w:val="4"/>
            <w:tcBorders>
              <w:top w:val="single" w:color="auto" w:sz="8"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bCs/>
                <w:color w:val="000000"/>
                <w:sz w:val="20"/>
                <w:szCs w:val="20"/>
              </w:rPr>
            </w:pPr>
            <w:r>
              <w:rPr>
                <w:rFonts w:ascii="Times New Roman" w:hAnsi="Times New Roman" w:eastAsia="方正黑体_GBK" w:cs="Times New Roman"/>
                <w:bCs/>
                <w:color w:val="000000"/>
                <w:sz w:val="20"/>
                <w:szCs w:val="20"/>
              </w:rPr>
              <w:t>总计</w:t>
            </w:r>
          </w:p>
        </w:tc>
        <w:tc>
          <w:tcPr>
            <w:tcW w:w="3728" w:type="dxa"/>
            <w:gridSpan w:val="4"/>
            <w:tcBorders>
              <w:top w:val="single" w:color="auto" w:sz="8"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bCs/>
                <w:color w:val="000000"/>
                <w:sz w:val="20"/>
                <w:szCs w:val="20"/>
              </w:rPr>
            </w:pPr>
            <w:r>
              <w:rPr>
                <w:rFonts w:ascii="Times New Roman" w:hAnsi="Times New Roman" w:eastAsia="方正黑体_GBK" w:cs="Times New Roman"/>
                <w:bCs/>
                <w:color w:val="000000"/>
                <w:sz w:val="20"/>
                <w:szCs w:val="20"/>
              </w:rPr>
              <w:t>企业退休人员</w:t>
            </w:r>
          </w:p>
        </w:tc>
        <w:tc>
          <w:tcPr>
            <w:tcW w:w="3869" w:type="dxa"/>
            <w:gridSpan w:val="4"/>
            <w:tcBorders>
              <w:top w:val="single" w:color="auto" w:sz="8" w:space="0"/>
              <w:left w:val="single" w:color="000000" w:sz="4" w:space="0"/>
              <w:bottom w:val="single" w:color="000000" w:sz="4" w:space="0"/>
              <w:right w:val="single" w:color="auto" w:sz="8" w:space="0"/>
            </w:tcBorders>
            <w:noWrap w:val="0"/>
            <w:vAlign w:val="center"/>
          </w:tcPr>
          <w:p>
            <w:pPr>
              <w:spacing w:line="240" w:lineRule="exact"/>
              <w:jc w:val="center"/>
              <w:rPr>
                <w:rFonts w:ascii="Times New Roman" w:hAnsi="Times New Roman" w:eastAsia="方正黑体_GBK" w:cs="Times New Roman"/>
                <w:bCs/>
                <w:color w:val="000000"/>
                <w:sz w:val="20"/>
                <w:szCs w:val="20"/>
              </w:rPr>
            </w:pPr>
            <w:r>
              <w:rPr>
                <w:rFonts w:ascii="Times New Roman" w:hAnsi="Times New Roman" w:eastAsia="方正黑体_GBK" w:cs="Times New Roman"/>
                <w:bCs/>
                <w:color w:val="000000"/>
                <w:sz w:val="20"/>
                <w:szCs w:val="20"/>
              </w:rPr>
              <w:t>机关事业单位退休人员</w:t>
            </w:r>
          </w:p>
        </w:tc>
      </w:tr>
      <w:tr>
        <w:tblPrEx>
          <w:tblCellMar>
            <w:top w:w="0" w:type="dxa"/>
            <w:left w:w="0" w:type="dxa"/>
            <w:bottom w:w="0" w:type="dxa"/>
            <w:right w:w="0" w:type="dxa"/>
          </w:tblCellMar>
        </w:tblPrEx>
        <w:trPr>
          <w:trHeight w:val="284" w:hRule="atLeast"/>
          <w:jc w:val="center"/>
        </w:trPr>
        <w:tc>
          <w:tcPr>
            <w:tcW w:w="2213" w:type="dxa"/>
            <w:gridSpan w:val="2"/>
            <w:vMerge w:val="continue"/>
            <w:tcBorders>
              <w:left w:val="single" w:color="auto" w:sz="8" w:space="0"/>
              <w:right w:val="single" w:color="000000" w:sz="4" w:space="0"/>
            </w:tcBorders>
            <w:noWrap w:val="0"/>
            <w:vAlign w:val="center"/>
          </w:tcPr>
          <w:p>
            <w:pPr>
              <w:spacing w:line="240" w:lineRule="exact"/>
              <w:rPr>
                <w:rFonts w:ascii="Times New Roman" w:hAnsi="Times New Roman" w:eastAsia="方正黑体_GBK" w:cs="Times New Roman"/>
                <w:color w:val="000000"/>
                <w:sz w:val="20"/>
                <w:szCs w:val="20"/>
              </w:rPr>
            </w:pPr>
          </w:p>
        </w:tc>
        <w:tc>
          <w:tcPr>
            <w:tcW w:w="860" w:type="dxa"/>
            <w:vMerge w:val="restart"/>
            <w:tcBorders>
              <w:top w:val="single" w:color="000000" w:sz="4" w:space="0"/>
              <w:left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参加调整人数</w:t>
            </w:r>
          </w:p>
          <w:p>
            <w:pPr>
              <w:widowControl w:val="0"/>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（万人）</w:t>
            </w:r>
          </w:p>
        </w:tc>
        <w:tc>
          <w:tcPr>
            <w:tcW w:w="944" w:type="dxa"/>
            <w:vMerge w:val="restart"/>
            <w:tcBorders>
              <w:top w:val="single" w:color="000000" w:sz="4" w:space="0"/>
              <w:left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 xml:space="preserve">月人均  增加     </w:t>
            </w:r>
          </w:p>
          <w:p>
            <w:pPr>
              <w:widowControl w:val="0"/>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（元）</w:t>
            </w:r>
          </w:p>
        </w:tc>
        <w:tc>
          <w:tcPr>
            <w:tcW w:w="186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月人均养老金水平</w:t>
            </w:r>
          </w:p>
        </w:tc>
        <w:tc>
          <w:tcPr>
            <w:tcW w:w="932" w:type="dxa"/>
            <w:vMerge w:val="restart"/>
            <w:tcBorders>
              <w:top w:val="single" w:color="000000" w:sz="4" w:space="0"/>
              <w:left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参加调</w:t>
            </w:r>
          </w:p>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整人数</w:t>
            </w:r>
          </w:p>
          <w:p>
            <w:pPr>
              <w:widowControl w:val="0"/>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（万人）</w:t>
            </w:r>
          </w:p>
        </w:tc>
        <w:tc>
          <w:tcPr>
            <w:tcW w:w="932" w:type="dxa"/>
            <w:vMerge w:val="restart"/>
            <w:tcBorders>
              <w:top w:val="single" w:color="000000" w:sz="4" w:space="0"/>
              <w:left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 xml:space="preserve">月人均  增加     </w:t>
            </w:r>
          </w:p>
          <w:p>
            <w:pPr>
              <w:widowControl w:val="0"/>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（元）</w:t>
            </w:r>
          </w:p>
        </w:tc>
        <w:tc>
          <w:tcPr>
            <w:tcW w:w="1864"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月人均养老金水平</w:t>
            </w:r>
          </w:p>
        </w:tc>
        <w:tc>
          <w:tcPr>
            <w:tcW w:w="932" w:type="dxa"/>
            <w:vMerge w:val="restart"/>
            <w:tcBorders>
              <w:top w:val="single" w:color="000000" w:sz="4" w:space="0"/>
              <w:left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参加调整</w:t>
            </w:r>
          </w:p>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人数</w:t>
            </w:r>
          </w:p>
          <w:p>
            <w:pPr>
              <w:widowControl w:val="0"/>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（万人）</w:t>
            </w:r>
          </w:p>
        </w:tc>
        <w:tc>
          <w:tcPr>
            <w:tcW w:w="920" w:type="dxa"/>
            <w:vMerge w:val="restart"/>
            <w:tcBorders>
              <w:top w:val="single" w:color="000000" w:sz="4" w:space="0"/>
              <w:left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 xml:space="preserve">月人均  增加   </w:t>
            </w:r>
          </w:p>
          <w:p>
            <w:pPr>
              <w:widowControl w:val="0"/>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（元）</w:t>
            </w:r>
          </w:p>
        </w:tc>
        <w:tc>
          <w:tcPr>
            <w:tcW w:w="2017" w:type="dxa"/>
            <w:gridSpan w:val="2"/>
            <w:tcBorders>
              <w:top w:val="single" w:color="000000" w:sz="4" w:space="0"/>
              <w:left w:val="single" w:color="000000" w:sz="4" w:space="0"/>
              <w:bottom w:val="single" w:color="000000" w:sz="4" w:space="0"/>
              <w:right w:val="single" w:color="auto" w:sz="8"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月人均养老金水平</w:t>
            </w:r>
          </w:p>
        </w:tc>
      </w:tr>
      <w:tr>
        <w:tblPrEx>
          <w:tblCellMar>
            <w:top w:w="0" w:type="dxa"/>
            <w:left w:w="0" w:type="dxa"/>
            <w:bottom w:w="0" w:type="dxa"/>
            <w:right w:w="0" w:type="dxa"/>
          </w:tblCellMar>
        </w:tblPrEx>
        <w:trPr>
          <w:trHeight w:val="284" w:hRule="atLeast"/>
          <w:jc w:val="center"/>
        </w:trPr>
        <w:tc>
          <w:tcPr>
            <w:tcW w:w="2213" w:type="dxa"/>
            <w:gridSpan w:val="2"/>
            <w:vMerge w:val="continue"/>
            <w:tcBorders>
              <w:left w:val="single" w:color="auto" w:sz="8" w:space="0"/>
              <w:bottom w:val="single" w:color="000000" w:sz="4" w:space="0"/>
              <w:right w:val="single" w:color="000000" w:sz="4" w:space="0"/>
            </w:tcBorders>
            <w:noWrap w:val="0"/>
            <w:vAlign w:val="center"/>
          </w:tcPr>
          <w:p>
            <w:pPr>
              <w:spacing w:line="240" w:lineRule="exact"/>
              <w:rPr>
                <w:rFonts w:ascii="Times New Roman" w:hAnsi="Times New Roman" w:eastAsia="方正黑体_GBK" w:cs="Times New Roman"/>
                <w:color w:val="000000"/>
                <w:sz w:val="20"/>
                <w:szCs w:val="20"/>
              </w:rPr>
            </w:pPr>
          </w:p>
        </w:tc>
        <w:tc>
          <w:tcPr>
            <w:tcW w:w="860" w:type="dxa"/>
            <w:vMerge w:val="continue"/>
            <w:tcBorders>
              <w:left w:val="single" w:color="000000" w:sz="4" w:space="0"/>
              <w:bottom w:val="single" w:color="000000" w:sz="4" w:space="0"/>
              <w:right w:val="single" w:color="000000" w:sz="4" w:space="0"/>
            </w:tcBorders>
            <w:noWrap w:val="0"/>
            <w:vAlign w:val="center"/>
          </w:tcPr>
          <w:p>
            <w:pPr>
              <w:widowControl w:val="0"/>
              <w:spacing w:line="240" w:lineRule="exact"/>
              <w:jc w:val="center"/>
              <w:rPr>
                <w:rFonts w:ascii="Times New Roman" w:hAnsi="Times New Roman" w:eastAsia="方正黑体_GBK" w:cs="Times New Roman"/>
                <w:color w:val="000000"/>
                <w:sz w:val="20"/>
                <w:szCs w:val="20"/>
              </w:rPr>
            </w:pPr>
          </w:p>
        </w:tc>
        <w:tc>
          <w:tcPr>
            <w:tcW w:w="944" w:type="dxa"/>
            <w:vMerge w:val="continue"/>
            <w:tcBorders>
              <w:left w:val="single" w:color="000000" w:sz="4" w:space="0"/>
              <w:bottom w:val="single" w:color="000000" w:sz="4" w:space="0"/>
              <w:right w:val="single" w:color="000000" w:sz="4" w:space="0"/>
            </w:tcBorders>
            <w:noWrap w:val="0"/>
            <w:vAlign w:val="center"/>
          </w:tcPr>
          <w:p>
            <w:pPr>
              <w:widowControl w:val="0"/>
              <w:spacing w:line="240" w:lineRule="exact"/>
              <w:jc w:val="center"/>
              <w:rPr>
                <w:rFonts w:ascii="Times New Roman" w:hAnsi="Times New Roman" w:eastAsia="方正黑体_GBK" w:cs="Times New Roman"/>
                <w:color w:val="000000"/>
                <w:sz w:val="20"/>
                <w:szCs w:val="20"/>
              </w:rPr>
            </w:pP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202</w:t>
            </w:r>
            <w:r>
              <w:rPr>
                <w:rFonts w:hint="eastAsia" w:ascii="Times New Roman" w:hAnsi="Times New Roman" w:eastAsia="方正黑体_GBK" w:cs="Times New Roman"/>
                <w:color w:val="000000"/>
                <w:sz w:val="20"/>
                <w:szCs w:val="20"/>
                <w:lang w:val="en-US" w:eastAsia="zh-CN"/>
              </w:rPr>
              <w:t>3</w:t>
            </w:r>
            <w:r>
              <w:rPr>
                <w:rFonts w:ascii="Times New Roman" w:hAnsi="Times New Roman" w:eastAsia="方正黑体_GBK" w:cs="Times New Roman"/>
                <w:color w:val="000000"/>
                <w:sz w:val="20"/>
                <w:szCs w:val="20"/>
              </w:rPr>
              <w:t>年底</w:t>
            </w:r>
          </w:p>
          <w:p>
            <w:pPr>
              <w:widowControl w:val="0"/>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（元）</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调整后</w:t>
            </w:r>
          </w:p>
          <w:p>
            <w:pPr>
              <w:widowControl w:val="0"/>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（元）</w:t>
            </w:r>
          </w:p>
        </w:tc>
        <w:tc>
          <w:tcPr>
            <w:tcW w:w="932" w:type="dxa"/>
            <w:vMerge w:val="continue"/>
            <w:tcBorders>
              <w:left w:val="single" w:color="000000" w:sz="4" w:space="0"/>
              <w:bottom w:val="single" w:color="000000" w:sz="4" w:space="0"/>
              <w:right w:val="single" w:color="000000" w:sz="4" w:space="0"/>
            </w:tcBorders>
            <w:noWrap w:val="0"/>
            <w:vAlign w:val="center"/>
          </w:tcPr>
          <w:p>
            <w:pPr>
              <w:widowControl w:val="0"/>
              <w:spacing w:line="240" w:lineRule="exact"/>
              <w:jc w:val="center"/>
              <w:rPr>
                <w:rFonts w:ascii="Times New Roman" w:hAnsi="Times New Roman" w:eastAsia="方正黑体_GBK" w:cs="Times New Roman"/>
                <w:color w:val="000000"/>
                <w:sz w:val="20"/>
                <w:szCs w:val="20"/>
              </w:rPr>
            </w:pPr>
          </w:p>
        </w:tc>
        <w:tc>
          <w:tcPr>
            <w:tcW w:w="932" w:type="dxa"/>
            <w:vMerge w:val="continue"/>
            <w:tcBorders>
              <w:left w:val="single" w:color="000000" w:sz="4" w:space="0"/>
              <w:bottom w:val="single" w:color="000000" w:sz="4" w:space="0"/>
              <w:right w:val="single" w:color="000000" w:sz="4" w:space="0"/>
            </w:tcBorders>
            <w:noWrap w:val="0"/>
            <w:vAlign w:val="center"/>
          </w:tcPr>
          <w:p>
            <w:pPr>
              <w:widowControl w:val="0"/>
              <w:spacing w:line="240" w:lineRule="exact"/>
              <w:jc w:val="center"/>
              <w:rPr>
                <w:rFonts w:ascii="Times New Roman" w:hAnsi="Times New Roman" w:eastAsia="方正黑体_GBK" w:cs="Times New Roman"/>
                <w:color w:val="000000"/>
                <w:sz w:val="20"/>
                <w:szCs w:val="20"/>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202</w:t>
            </w:r>
            <w:r>
              <w:rPr>
                <w:rFonts w:hint="eastAsia" w:ascii="Times New Roman" w:hAnsi="Times New Roman" w:eastAsia="方正黑体_GBK" w:cs="Times New Roman"/>
                <w:color w:val="000000"/>
                <w:sz w:val="20"/>
                <w:szCs w:val="20"/>
                <w:lang w:val="en-US" w:eastAsia="zh-CN"/>
              </w:rPr>
              <w:t>3</w:t>
            </w:r>
            <w:r>
              <w:rPr>
                <w:rFonts w:ascii="Times New Roman" w:hAnsi="Times New Roman" w:eastAsia="方正黑体_GBK" w:cs="Times New Roman"/>
                <w:color w:val="000000"/>
                <w:sz w:val="20"/>
                <w:szCs w:val="20"/>
              </w:rPr>
              <w:t>年底</w:t>
            </w:r>
          </w:p>
          <w:p>
            <w:pPr>
              <w:widowControl w:val="0"/>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（元）</w:t>
            </w:r>
          </w:p>
        </w:tc>
        <w:tc>
          <w:tcPr>
            <w:tcW w:w="828"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调整后</w:t>
            </w:r>
          </w:p>
          <w:p>
            <w:pPr>
              <w:widowControl w:val="0"/>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（元）</w:t>
            </w:r>
          </w:p>
        </w:tc>
        <w:tc>
          <w:tcPr>
            <w:tcW w:w="932" w:type="dxa"/>
            <w:vMerge w:val="continue"/>
            <w:tcBorders>
              <w:left w:val="single" w:color="000000" w:sz="4" w:space="0"/>
              <w:bottom w:val="single" w:color="000000" w:sz="4" w:space="0"/>
              <w:right w:val="single" w:color="000000" w:sz="4" w:space="0"/>
            </w:tcBorders>
            <w:noWrap w:val="0"/>
            <w:vAlign w:val="center"/>
          </w:tcPr>
          <w:p>
            <w:pPr>
              <w:widowControl w:val="0"/>
              <w:spacing w:line="240" w:lineRule="exact"/>
              <w:jc w:val="center"/>
              <w:rPr>
                <w:rFonts w:ascii="Times New Roman" w:hAnsi="Times New Roman" w:eastAsia="方正黑体_GBK" w:cs="Times New Roman"/>
                <w:color w:val="000000"/>
                <w:sz w:val="20"/>
                <w:szCs w:val="20"/>
              </w:rPr>
            </w:pPr>
          </w:p>
        </w:tc>
        <w:tc>
          <w:tcPr>
            <w:tcW w:w="920" w:type="dxa"/>
            <w:vMerge w:val="continue"/>
            <w:tcBorders>
              <w:left w:val="single" w:color="000000" w:sz="4" w:space="0"/>
              <w:bottom w:val="single" w:color="000000" w:sz="4" w:space="0"/>
              <w:right w:val="single" w:color="000000" w:sz="4" w:space="0"/>
            </w:tcBorders>
            <w:noWrap w:val="0"/>
            <w:vAlign w:val="center"/>
          </w:tcPr>
          <w:p>
            <w:pPr>
              <w:widowControl w:val="0"/>
              <w:spacing w:line="240" w:lineRule="exact"/>
              <w:jc w:val="center"/>
              <w:rPr>
                <w:rFonts w:ascii="Times New Roman" w:hAnsi="Times New Roman" w:eastAsia="方正黑体_GBK" w:cs="Times New Roman"/>
                <w:color w:val="000000"/>
                <w:sz w:val="20"/>
                <w:szCs w:val="20"/>
              </w:rPr>
            </w:pP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20</w:t>
            </w:r>
            <w:r>
              <w:rPr>
                <w:rFonts w:hint="eastAsia" w:ascii="Times New Roman" w:hAnsi="Times New Roman" w:eastAsia="方正黑体_GBK" w:cs="Times New Roman"/>
                <w:color w:val="000000"/>
                <w:sz w:val="20"/>
                <w:szCs w:val="20"/>
                <w:lang w:val="en-US" w:eastAsia="zh-CN"/>
              </w:rPr>
              <w:t>23</w:t>
            </w:r>
            <w:r>
              <w:rPr>
                <w:rFonts w:ascii="Times New Roman" w:hAnsi="Times New Roman" w:eastAsia="方正黑体_GBK" w:cs="Times New Roman"/>
                <w:color w:val="000000"/>
                <w:sz w:val="20"/>
                <w:szCs w:val="20"/>
              </w:rPr>
              <w:t>年底</w:t>
            </w:r>
          </w:p>
          <w:p>
            <w:pPr>
              <w:widowControl w:val="0"/>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（元）</w:t>
            </w:r>
          </w:p>
        </w:tc>
        <w:tc>
          <w:tcPr>
            <w:tcW w:w="932" w:type="dxa"/>
            <w:tcBorders>
              <w:top w:val="single" w:color="000000" w:sz="4" w:space="0"/>
              <w:left w:val="single" w:color="000000" w:sz="4" w:space="0"/>
              <w:bottom w:val="single" w:color="000000" w:sz="4" w:space="0"/>
              <w:right w:val="single" w:color="auto" w:sz="8" w:space="0"/>
            </w:tcBorders>
            <w:noWrap w:val="0"/>
            <w:vAlign w:val="center"/>
          </w:tcPr>
          <w:p>
            <w:pPr>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调整后</w:t>
            </w:r>
          </w:p>
          <w:p>
            <w:pPr>
              <w:widowControl w:val="0"/>
              <w:spacing w:line="240" w:lineRule="exact"/>
              <w:jc w:val="center"/>
              <w:rPr>
                <w:rFonts w:ascii="Times New Roman" w:hAnsi="Times New Roman" w:eastAsia="方正黑体_GBK" w:cs="Times New Roman"/>
                <w:color w:val="000000"/>
                <w:sz w:val="20"/>
                <w:szCs w:val="20"/>
              </w:rPr>
            </w:pPr>
            <w:r>
              <w:rPr>
                <w:rFonts w:ascii="Times New Roman" w:hAnsi="Times New Roman" w:eastAsia="方正黑体_GBK" w:cs="Times New Roman"/>
                <w:color w:val="000000"/>
                <w:sz w:val="20"/>
                <w:szCs w:val="20"/>
              </w:rPr>
              <w:t>（元）</w:t>
            </w:r>
          </w:p>
        </w:tc>
      </w:tr>
      <w:tr>
        <w:tblPrEx>
          <w:tblCellMar>
            <w:top w:w="0" w:type="dxa"/>
            <w:left w:w="0" w:type="dxa"/>
            <w:bottom w:w="0" w:type="dxa"/>
            <w:right w:w="0" w:type="dxa"/>
          </w:tblCellMar>
        </w:tblPrEx>
        <w:trPr>
          <w:trHeight w:val="284" w:hRule="atLeast"/>
          <w:jc w:val="center"/>
        </w:trPr>
        <w:tc>
          <w:tcPr>
            <w:tcW w:w="2213" w:type="dxa"/>
            <w:gridSpan w:val="2"/>
            <w:tcBorders>
              <w:top w:val="single" w:color="000000" w:sz="4" w:space="0"/>
              <w:left w:val="single" w:color="auto" w:sz="8"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合  计</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828"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auto" w:sz="8" w:space="0"/>
            </w:tcBorders>
            <w:noWrap w:val="0"/>
            <w:vAlign w:val="center"/>
          </w:tcPr>
          <w:p>
            <w:pPr>
              <w:spacing w:line="240" w:lineRule="exact"/>
              <w:jc w:val="center"/>
              <w:rPr>
                <w:rFonts w:ascii="Times New Roman" w:hAnsi="Times New Roman" w:cs="Times New Roman"/>
                <w:color w:val="000000"/>
                <w:sz w:val="20"/>
                <w:szCs w:val="20"/>
              </w:rPr>
            </w:pPr>
          </w:p>
        </w:tc>
      </w:tr>
      <w:tr>
        <w:tblPrEx>
          <w:tblCellMar>
            <w:top w:w="0" w:type="dxa"/>
            <w:left w:w="0" w:type="dxa"/>
            <w:bottom w:w="0" w:type="dxa"/>
            <w:right w:w="0" w:type="dxa"/>
          </w:tblCellMar>
        </w:tblPrEx>
        <w:trPr>
          <w:trHeight w:val="284" w:hRule="atLeast"/>
          <w:jc w:val="center"/>
        </w:trPr>
        <w:tc>
          <w:tcPr>
            <w:tcW w:w="2213" w:type="dxa"/>
            <w:gridSpan w:val="2"/>
            <w:tcBorders>
              <w:top w:val="single" w:color="000000" w:sz="4" w:space="0"/>
              <w:left w:val="single" w:color="auto" w:sz="8"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定额调整</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28"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auto" w:sz="8"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tblPrEx>
          <w:tblCellMar>
            <w:top w:w="0" w:type="dxa"/>
            <w:left w:w="0" w:type="dxa"/>
            <w:bottom w:w="0" w:type="dxa"/>
            <w:right w:w="0" w:type="dxa"/>
          </w:tblCellMar>
        </w:tblPrEx>
        <w:trPr>
          <w:trHeight w:val="284" w:hRule="atLeast"/>
          <w:jc w:val="center"/>
        </w:trPr>
        <w:tc>
          <w:tcPr>
            <w:tcW w:w="632" w:type="dxa"/>
            <w:vMerge w:val="restart"/>
            <w:tcBorders>
              <w:top w:val="single" w:color="000000" w:sz="4" w:space="0"/>
              <w:left w:val="single" w:color="auto" w:sz="8"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挂钩  调整</w:t>
            </w:r>
          </w:p>
        </w:tc>
        <w:tc>
          <w:tcPr>
            <w:tcW w:w="1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小    计</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28"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auto" w:sz="8"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tblPrEx>
          <w:tblCellMar>
            <w:top w:w="0" w:type="dxa"/>
            <w:left w:w="0" w:type="dxa"/>
            <w:bottom w:w="0" w:type="dxa"/>
            <w:right w:w="0" w:type="dxa"/>
          </w:tblCellMar>
        </w:tblPrEx>
        <w:trPr>
          <w:trHeight w:val="284" w:hRule="atLeast"/>
          <w:jc w:val="center"/>
        </w:trPr>
        <w:tc>
          <w:tcPr>
            <w:tcW w:w="632" w:type="dxa"/>
            <w:vMerge w:val="continue"/>
            <w:tcBorders>
              <w:top w:val="single" w:color="000000" w:sz="4" w:space="0"/>
              <w:left w:val="single" w:color="auto" w:sz="8" w:space="0"/>
              <w:bottom w:val="single" w:color="000000" w:sz="4" w:space="0"/>
              <w:right w:val="single" w:color="000000" w:sz="4" w:space="0"/>
            </w:tcBorders>
            <w:noWrap w:val="0"/>
            <w:vAlign w:val="center"/>
          </w:tcPr>
          <w:p>
            <w:pPr>
              <w:spacing w:line="240" w:lineRule="exact"/>
              <w:rPr>
                <w:rFonts w:ascii="Times New Roman" w:hAnsi="Times New Roman" w:cs="Times New Roman"/>
                <w:b/>
                <w:bCs/>
                <w:color w:val="000000"/>
                <w:sz w:val="20"/>
                <w:szCs w:val="20"/>
              </w:rPr>
            </w:pPr>
          </w:p>
        </w:tc>
        <w:tc>
          <w:tcPr>
            <w:tcW w:w="1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left="72" w:leftChars="30" w:right="72" w:rightChars="30"/>
              <w:jc w:val="both"/>
              <w:rPr>
                <w:rFonts w:ascii="Times New Roman" w:hAnsi="Times New Roman" w:cs="Times New Roman"/>
                <w:color w:val="000000"/>
                <w:sz w:val="20"/>
                <w:szCs w:val="20"/>
              </w:rPr>
            </w:pPr>
            <w:r>
              <w:rPr>
                <w:rFonts w:ascii="Times New Roman" w:hAnsi="Times New Roman" w:cs="Times New Roman"/>
                <w:color w:val="000000"/>
                <w:sz w:val="20"/>
                <w:szCs w:val="20"/>
              </w:rPr>
              <w:t>#与</w:t>
            </w:r>
            <w:r>
              <w:rPr>
                <w:rFonts w:ascii="Times New Roman" w:hAnsi="Times New Roman" w:cs="Times New Roman"/>
                <w:color w:val="000000"/>
                <w:spacing w:val="-6"/>
                <w:sz w:val="20"/>
                <w:szCs w:val="20"/>
              </w:rPr>
              <w:t>缴费年限       （工作年限）挂钩</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28"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auto" w:sz="8"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tblPrEx>
          <w:tblCellMar>
            <w:top w:w="0" w:type="dxa"/>
            <w:left w:w="0" w:type="dxa"/>
            <w:bottom w:w="0" w:type="dxa"/>
            <w:right w:w="0" w:type="dxa"/>
          </w:tblCellMar>
        </w:tblPrEx>
        <w:trPr>
          <w:trHeight w:val="380" w:hRule="atLeast"/>
          <w:jc w:val="center"/>
        </w:trPr>
        <w:tc>
          <w:tcPr>
            <w:tcW w:w="632" w:type="dxa"/>
            <w:vMerge w:val="continue"/>
            <w:tcBorders>
              <w:top w:val="single" w:color="000000" w:sz="4" w:space="0"/>
              <w:left w:val="single" w:color="auto" w:sz="8" w:space="0"/>
              <w:bottom w:val="single" w:color="000000" w:sz="4" w:space="0"/>
              <w:right w:val="single" w:color="000000" w:sz="4" w:space="0"/>
            </w:tcBorders>
            <w:noWrap w:val="0"/>
            <w:vAlign w:val="center"/>
          </w:tcPr>
          <w:p>
            <w:pPr>
              <w:spacing w:line="240" w:lineRule="exact"/>
              <w:rPr>
                <w:rFonts w:ascii="Times New Roman" w:hAnsi="Times New Roman" w:cs="Times New Roman"/>
                <w:b/>
                <w:bCs/>
                <w:color w:val="000000"/>
                <w:sz w:val="20"/>
                <w:szCs w:val="20"/>
              </w:rPr>
            </w:pPr>
          </w:p>
        </w:tc>
        <w:tc>
          <w:tcPr>
            <w:tcW w:w="1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left="72" w:leftChars="30" w:right="72" w:rightChars="30"/>
              <w:jc w:val="both"/>
              <w:rPr>
                <w:rFonts w:ascii="Times New Roman" w:hAnsi="Times New Roman" w:cs="Times New Roman"/>
                <w:color w:val="000000"/>
                <w:sz w:val="20"/>
                <w:szCs w:val="20"/>
              </w:rPr>
            </w:pPr>
            <w:r>
              <w:rPr>
                <w:rFonts w:ascii="Times New Roman" w:hAnsi="Times New Roman" w:cs="Times New Roman"/>
                <w:color w:val="000000"/>
                <w:sz w:val="20"/>
                <w:szCs w:val="20"/>
              </w:rPr>
              <w:t>#与基本养老金水平挂钩</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28"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auto" w:sz="8"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tblPrEx>
          <w:tblCellMar>
            <w:top w:w="0" w:type="dxa"/>
            <w:left w:w="0" w:type="dxa"/>
            <w:bottom w:w="0" w:type="dxa"/>
            <w:right w:w="0" w:type="dxa"/>
          </w:tblCellMar>
        </w:tblPrEx>
        <w:trPr>
          <w:trHeight w:val="214" w:hRule="atLeast"/>
          <w:jc w:val="center"/>
        </w:trPr>
        <w:tc>
          <w:tcPr>
            <w:tcW w:w="632" w:type="dxa"/>
            <w:vMerge w:val="restart"/>
            <w:tcBorders>
              <w:top w:val="single" w:color="000000" w:sz="4" w:space="0"/>
              <w:left w:val="single" w:color="auto" w:sz="8"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适当 倾斜</w:t>
            </w:r>
          </w:p>
        </w:tc>
        <w:tc>
          <w:tcPr>
            <w:tcW w:w="1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小    计</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828"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auto" w:sz="8"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tblPrEx>
          <w:tblCellMar>
            <w:top w:w="0" w:type="dxa"/>
            <w:left w:w="0" w:type="dxa"/>
            <w:bottom w:w="0" w:type="dxa"/>
            <w:right w:w="0" w:type="dxa"/>
          </w:tblCellMar>
        </w:tblPrEx>
        <w:trPr>
          <w:trHeight w:val="284" w:hRule="atLeast"/>
          <w:jc w:val="center"/>
        </w:trPr>
        <w:tc>
          <w:tcPr>
            <w:tcW w:w="632" w:type="dxa"/>
            <w:vMerge w:val="continue"/>
            <w:tcBorders>
              <w:top w:val="single" w:color="000000" w:sz="4" w:space="0"/>
              <w:left w:val="single" w:color="auto" w:sz="8" w:space="0"/>
              <w:bottom w:val="single" w:color="000000" w:sz="4" w:space="0"/>
              <w:right w:val="single" w:color="000000" w:sz="4" w:space="0"/>
            </w:tcBorders>
            <w:noWrap w:val="0"/>
            <w:vAlign w:val="center"/>
          </w:tcPr>
          <w:p>
            <w:pPr>
              <w:spacing w:line="240" w:lineRule="exact"/>
              <w:rPr>
                <w:rFonts w:ascii="Times New Roman" w:hAnsi="Times New Roman" w:cs="Times New Roman"/>
                <w:b/>
                <w:bCs/>
                <w:color w:val="000000"/>
                <w:sz w:val="20"/>
                <w:szCs w:val="20"/>
              </w:rPr>
            </w:pPr>
          </w:p>
        </w:tc>
        <w:tc>
          <w:tcPr>
            <w:tcW w:w="1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left="72" w:leftChars="30" w:right="72" w:rightChars="30"/>
              <w:jc w:val="both"/>
              <w:rPr>
                <w:rFonts w:ascii="Times New Roman" w:hAnsi="Times New Roman" w:cs="Times New Roman"/>
                <w:color w:val="000000"/>
                <w:sz w:val="20"/>
                <w:szCs w:val="20"/>
              </w:rPr>
            </w:pPr>
            <w:r>
              <w:rPr>
                <w:rFonts w:ascii="Times New Roman" w:hAnsi="Times New Roman" w:cs="Times New Roman"/>
                <w:color w:val="000000"/>
                <w:sz w:val="20"/>
                <w:szCs w:val="20"/>
              </w:rPr>
              <w:t>#高龄人员</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828"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auto" w:sz="8" w:space="0"/>
            </w:tcBorders>
            <w:noWrap w:val="0"/>
            <w:vAlign w:val="center"/>
          </w:tcPr>
          <w:p>
            <w:pPr>
              <w:spacing w:line="240" w:lineRule="exact"/>
              <w:jc w:val="center"/>
              <w:rPr>
                <w:rFonts w:ascii="Times New Roman" w:hAnsi="Times New Roman" w:cs="Times New Roman"/>
                <w:color w:val="000000"/>
                <w:sz w:val="20"/>
                <w:szCs w:val="20"/>
              </w:rPr>
            </w:pPr>
          </w:p>
        </w:tc>
      </w:tr>
      <w:tr>
        <w:tblPrEx>
          <w:tblCellMar>
            <w:top w:w="0" w:type="dxa"/>
            <w:left w:w="0" w:type="dxa"/>
            <w:bottom w:w="0" w:type="dxa"/>
            <w:right w:w="0" w:type="dxa"/>
          </w:tblCellMar>
        </w:tblPrEx>
        <w:trPr>
          <w:trHeight w:val="284" w:hRule="atLeast"/>
          <w:jc w:val="center"/>
        </w:trPr>
        <w:tc>
          <w:tcPr>
            <w:tcW w:w="632" w:type="dxa"/>
            <w:vMerge w:val="continue"/>
            <w:tcBorders>
              <w:top w:val="single" w:color="000000" w:sz="4" w:space="0"/>
              <w:left w:val="single" w:color="auto" w:sz="8" w:space="0"/>
              <w:bottom w:val="single" w:color="000000" w:sz="4" w:space="0"/>
              <w:right w:val="single" w:color="000000" w:sz="4" w:space="0"/>
            </w:tcBorders>
            <w:noWrap w:val="0"/>
            <w:vAlign w:val="center"/>
          </w:tcPr>
          <w:p>
            <w:pPr>
              <w:spacing w:line="240" w:lineRule="exact"/>
              <w:rPr>
                <w:rFonts w:ascii="Times New Roman" w:hAnsi="Times New Roman" w:cs="Times New Roman"/>
                <w:b/>
                <w:bCs/>
                <w:color w:val="000000"/>
                <w:sz w:val="20"/>
                <w:szCs w:val="20"/>
              </w:rPr>
            </w:pPr>
          </w:p>
        </w:tc>
        <w:tc>
          <w:tcPr>
            <w:tcW w:w="1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left="72" w:leftChars="30" w:right="72" w:rightChars="30"/>
              <w:jc w:val="both"/>
              <w:rPr>
                <w:rFonts w:ascii="Times New Roman" w:hAnsi="Times New Roman" w:cs="Times New Roman"/>
                <w:color w:val="000000"/>
                <w:sz w:val="20"/>
                <w:szCs w:val="20"/>
              </w:rPr>
            </w:pPr>
            <w:r>
              <w:rPr>
                <w:rFonts w:ascii="Times New Roman" w:hAnsi="Times New Roman" w:cs="Times New Roman"/>
                <w:color w:val="000000"/>
                <w:sz w:val="20"/>
                <w:szCs w:val="20"/>
              </w:rPr>
              <w:t>#艰苦边远地区退休人员</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828"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auto" w:sz="8" w:space="0"/>
            </w:tcBorders>
            <w:noWrap w:val="0"/>
            <w:vAlign w:val="center"/>
          </w:tcPr>
          <w:p>
            <w:pPr>
              <w:spacing w:line="240" w:lineRule="exact"/>
              <w:jc w:val="center"/>
              <w:rPr>
                <w:rFonts w:ascii="Times New Roman" w:hAnsi="Times New Roman" w:cs="Times New Roman"/>
                <w:color w:val="000000"/>
                <w:sz w:val="20"/>
                <w:szCs w:val="20"/>
              </w:rPr>
            </w:pPr>
          </w:p>
        </w:tc>
      </w:tr>
      <w:tr>
        <w:tblPrEx>
          <w:tblCellMar>
            <w:top w:w="0" w:type="dxa"/>
            <w:left w:w="0" w:type="dxa"/>
            <w:bottom w:w="0" w:type="dxa"/>
            <w:right w:w="0" w:type="dxa"/>
          </w:tblCellMar>
        </w:tblPrEx>
        <w:trPr>
          <w:trHeight w:val="284" w:hRule="atLeast"/>
          <w:jc w:val="center"/>
        </w:trPr>
        <w:tc>
          <w:tcPr>
            <w:tcW w:w="632" w:type="dxa"/>
            <w:vMerge w:val="continue"/>
            <w:tcBorders>
              <w:top w:val="single" w:color="000000" w:sz="4" w:space="0"/>
              <w:left w:val="single" w:color="auto" w:sz="8" w:space="0"/>
              <w:bottom w:val="single" w:color="000000" w:sz="4" w:space="0"/>
              <w:right w:val="single" w:color="000000" w:sz="4" w:space="0"/>
            </w:tcBorders>
            <w:noWrap w:val="0"/>
            <w:vAlign w:val="center"/>
          </w:tcPr>
          <w:p>
            <w:pPr>
              <w:spacing w:line="240" w:lineRule="exact"/>
              <w:rPr>
                <w:rFonts w:ascii="Times New Roman" w:hAnsi="Times New Roman" w:cs="Times New Roman"/>
                <w:b/>
                <w:bCs/>
                <w:color w:val="000000"/>
                <w:sz w:val="20"/>
                <w:szCs w:val="20"/>
              </w:rPr>
            </w:pPr>
          </w:p>
        </w:tc>
        <w:tc>
          <w:tcPr>
            <w:tcW w:w="1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left="72" w:leftChars="30" w:right="72" w:rightChars="30"/>
              <w:jc w:val="both"/>
              <w:rPr>
                <w:rFonts w:ascii="Times New Roman" w:hAnsi="Times New Roman" w:cs="Times New Roman"/>
                <w:color w:val="000000"/>
                <w:sz w:val="20"/>
                <w:szCs w:val="20"/>
              </w:rPr>
            </w:pPr>
            <w:r>
              <w:rPr>
                <w:rFonts w:ascii="Times New Roman" w:hAnsi="Times New Roman" w:cs="Times New Roman"/>
                <w:color w:val="000000"/>
                <w:sz w:val="20"/>
                <w:szCs w:val="20"/>
              </w:rPr>
              <w:t>#企业退休军转干部</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828"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932" w:type="dxa"/>
            <w:tcBorders>
              <w:top w:val="single" w:color="000000" w:sz="4" w:space="0"/>
              <w:left w:val="single" w:color="000000" w:sz="4" w:space="0"/>
              <w:bottom w:val="single" w:color="000000" w:sz="4" w:space="0"/>
              <w:right w:val="single" w:color="auto" w:sz="8" w:space="0"/>
            </w:tcBorders>
            <w:noWrap w:val="0"/>
            <w:vAlign w:val="center"/>
          </w:tcPr>
          <w:p>
            <w:pPr>
              <w:spacing w:line="240" w:lineRule="exac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r>
      <w:tr>
        <w:tblPrEx>
          <w:tblCellMar>
            <w:top w:w="0" w:type="dxa"/>
            <w:left w:w="0" w:type="dxa"/>
            <w:bottom w:w="0" w:type="dxa"/>
            <w:right w:w="0" w:type="dxa"/>
          </w:tblCellMar>
        </w:tblPrEx>
        <w:trPr>
          <w:trHeight w:val="284" w:hRule="atLeast"/>
          <w:jc w:val="center"/>
        </w:trPr>
        <w:tc>
          <w:tcPr>
            <w:tcW w:w="632" w:type="dxa"/>
            <w:vMerge w:val="continue"/>
            <w:tcBorders>
              <w:top w:val="single" w:color="000000" w:sz="4" w:space="0"/>
              <w:left w:val="single" w:color="auto" w:sz="8" w:space="0"/>
              <w:bottom w:val="single" w:color="000000" w:sz="4" w:space="0"/>
              <w:right w:val="single" w:color="000000" w:sz="4" w:space="0"/>
            </w:tcBorders>
            <w:noWrap w:val="0"/>
            <w:vAlign w:val="center"/>
          </w:tcPr>
          <w:p>
            <w:pPr>
              <w:spacing w:line="240" w:lineRule="exact"/>
              <w:rPr>
                <w:rFonts w:ascii="Times New Roman" w:hAnsi="Times New Roman" w:cs="Times New Roman"/>
                <w:b/>
                <w:bCs/>
                <w:color w:val="000000"/>
                <w:sz w:val="20"/>
                <w:szCs w:val="20"/>
              </w:rPr>
            </w:pPr>
          </w:p>
        </w:tc>
        <w:tc>
          <w:tcPr>
            <w:tcW w:w="1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left="72" w:leftChars="30" w:right="72" w:rightChars="30"/>
              <w:jc w:val="both"/>
              <w:rPr>
                <w:rFonts w:ascii="Times New Roman" w:hAnsi="Times New Roman" w:cs="Times New Roman"/>
                <w:color w:val="000000"/>
                <w:sz w:val="20"/>
                <w:szCs w:val="20"/>
              </w:rPr>
            </w:pPr>
            <w:r>
              <w:rPr>
                <w:rFonts w:ascii="Times New Roman" w:hAnsi="Times New Roman" w:cs="Times New Roman"/>
                <w:color w:val="000000"/>
                <w:sz w:val="20"/>
                <w:szCs w:val="20"/>
              </w:rPr>
              <w:t>*享受军转倾斜       政策的人员</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944"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828"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932" w:type="dxa"/>
            <w:tcBorders>
              <w:top w:val="single" w:color="000000" w:sz="4" w:space="0"/>
              <w:left w:val="single" w:color="000000" w:sz="4" w:space="0"/>
              <w:bottom w:val="single" w:color="000000" w:sz="4" w:space="0"/>
              <w:right w:val="single" w:color="auto" w:sz="8"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r>
      <w:tr>
        <w:tblPrEx>
          <w:tblCellMar>
            <w:top w:w="0" w:type="dxa"/>
            <w:left w:w="0" w:type="dxa"/>
            <w:bottom w:w="0" w:type="dxa"/>
            <w:right w:w="0" w:type="dxa"/>
          </w:tblCellMar>
        </w:tblPrEx>
        <w:trPr>
          <w:trHeight w:val="284" w:hRule="atLeast"/>
          <w:jc w:val="center"/>
        </w:trPr>
        <w:tc>
          <w:tcPr>
            <w:tcW w:w="632" w:type="dxa"/>
            <w:vMerge w:val="continue"/>
            <w:tcBorders>
              <w:top w:val="single" w:color="000000" w:sz="4" w:space="0"/>
              <w:left w:val="single" w:color="auto" w:sz="8" w:space="0"/>
              <w:bottom w:val="single" w:color="000000" w:sz="4" w:space="0"/>
              <w:right w:val="single" w:color="000000" w:sz="4" w:space="0"/>
            </w:tcBorders>
            <w:noWrap w:val="0"/>
            <w:vAlign w:val="center"/>
          </w:tcPr>
          <w:p>
            <w:pPr>
              <w:spacing w:line="240" w:lineRule="exact"/>
              <w:rPr>
                <w:rFonts w:ascii="Times New Roman" w:hAnsi="Times New Roman" w:cs="Times New Roman"/>
                <w:b/>
                <w:bCs/>
                <w:color w:val="000000"/>
                <w:sz w:val="20"/>
                <w:szCs w:val="20"/>
              </w:rPr>
            </w:pPr>
          </w:p>
        </w:tc>
        <w:tc>
          <w:tcPr>
            <w:tcW w:w="1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left="72" w:leftChars="30" w:right="72" w:rightChars="30"/>
              <w:jc w:val="both"/>
              <w:rPr>
                <w:rFonts w:ascii="Times New Roman" w:hAnsi="Times New Roman" w:cs="Times New Roman"/>
                <w:color w:val="000000"/>
                <w:sz w:val="20"/>
                <w:szCs w:val="20"/>
              </w:rPr>
            </w:pPr>
            <w:r>
              <w:rPr>
                <w:rFonts w:ascii="Times New Roman" w:hAnsi="Times New Roman" w:cs="Times New Roman"/>
                <w:color w:val="000000"/>
                <w:sz w:val="20"/>
                <w:szCs w:val="20"/>
              </w:rPr>
              <w:t>（#如有其他倾斜群体，请列出）</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944"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828"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c>
          <w:tcPr>
            <w:tcW w:w="932" w:type="dxa"/>
            <w:tcBorders>
              <w:top w:val="single" w:color="000000" w:sz="4" w:space="0"/>
              <w:left w:val="single" w:color="000000" w:sz="4" w:space="0"/>
              <w:bottom w:val="single" w:color="000000" w:sz="4" w:space="0"/>
              <w:right w:val="single" w:color="auto" w:sz="8" w:space="0"/>
            </w:tcBorders>
            <w:noWrap w:val="0"/>
            <w:vAlign w:val="center"/>
          </w:tcPr>
          <w:p>
            <w:pPr>
              <w:spacing w:line="200" w:lineRule="exact"/>
              <w:jc w:val="center"/>
              <w:textAlignment w:val="center"/>
              <w:rPr>
                <w:rFonts w:ascii="Times New Roman" w:hAnsi="Times New Roman" w:cs="Times New Roman"/>
                <w:color w:val="000000"/>
                <w:sz w:val="20"/>
                <w:szCs w:val="20"/>
              </w:rPr>
            </w:pPr>
            <w:r>
              <w:rPr>
                <w:rFonts w:ascii="Times New Roman" w:hAnsi="Times New Roman" w:cs="Times New Roman"/>
                <w:color w:val="000000"/>
                <w:sz w:val="18"/>
                <w:szCs w:val="18"/>
              </w:rPr>
              <w:t>----</w:t>
            </w:r>
          </w:p>
        </w:tc>
      </w:tr>
      <w:tr>
        <w:tblPrEx>
          <w:tblCellMar>
            <w:top w:w="0" w:type="dxa"/>
            <w:left w:w="0" w:type="dxa"/>
            <w:bottom w:w="0" w:type="dxa"/>
            <w:right w:w="0" w:type="dxa"/>
          </w:tblCellMar>
        </w:tblPrEx>
        <w:trPr>
          <w:trHeight w:val="284" w:hRule="atLeast"/>
          <w:jc w:val="center"/>
        </w:trPr>
        <w:tc>
          <w:tcPr>
            <w:tcW w:w="632" w:type="dxa"/>
            <w:vMerge w:val="restart"/>
            <w:tcBorders>
              <w:top w:val="single" w:color="000000" w:sz="4" w:space="0"/>
              <w:left w:val="single" w:color="auto" w:sz="8"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重点关注 群体</w:t>
            </w:r>
            <w:r>
              <w:rPr>
                <w:rFonts w:ascii="Times New Roman" w:hAnsi="Times New Roman" w:cs="Times New Roman"/>
                <w:b/>
                <w:bCs/>
                <w:color w:val="000000"/>
                <w:sz w:val="20"/>
                <w:szCs w:val="20"/>
                <w:vertAlign w:val="superscript"/>
              </w:rPr>
              <w:t>*</w:t>
            </w:r>
          </w:p>
        </w:tc>
        <w:tc>
          <w:tcPr>
            <w:tcW w:w="1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left="72" w:leftChars="30" w:right="72" w:rightChars="30"/>
              <w:jc w:val="both"/>
              <w:rPr>
                <w:rFonts w:ascii="Times New Roman" w:hAnsi="Times New Roman" w:cs="Times New Roman"/>
                <w:color w:val="000000"/>
                <w:sz w:val="20"/>
                <w:szCs w:val="20"/>
              </w:rPr>
            </w:pPr>
            <w:r>
              <w:rPr>
                <w:rFonts w:ascii="Times New Roman" w:hAnsi="Times New Roman" w:cs="Times New Roman"/>
                <w:color w:val="000000"/>
                <w:sz w:val="20"/>
                <w:szCs w:val="20"/>
              </w:rPr>
              <w:t>具有高级职称退休人员</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828"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auto" w:sz="8" w:space="0"/>
            </w:tcBorders>
            <w:noWrap w:val="0"/>
            <w:vAlign w:val="center"/>
          </w:tcPr>
          <w:p>
            <w:pPr>
              <w:spacing w:line="240" w:lineRule="exact"/>
              <w:jc w:val="center"/>
              <w:rPr>
                <w:rFonts w:ascii="Times New Roman" w:hAnsi="Times New Roman" w:cs="Times New Roman"/>
                <w:color w:val="000000"/>
                <w:sz w:val="20"/>
                <w:szCs w:val="20"/>
              </w:rPr>
            </w:pPr>
          </w:p>
        </w:tc>
      </w:tr>
      <w:tr>
        <w:tblPrEx>
          <w:tblCellMar>
            <w:top w:w="0" w:type="dxa"/>
            <w:left w:w="0" w:type="dxa"/>
            <w:bottom w:w="0" w:type="dxa"/>
            <w:right w:w="0" w:type="dxa"/>
          </w:tblCellMar>
        </w:tblPrEx>
        <w:trPr>
          <w:trHeight w:val="284" w:hRule="atLeast"/>
          <w:jc w:val="center"/>
        </w:trPr>
        <w:tc>
          <w:tcPr>
            <w:tcW w:w="632" w:type="dxa"/>
            <w:vMerge w:val="continue"/>
            <w:tcBorders>
              <w:top w:val="single" w:color="000000" w:sz="4" w:space="0"/>
              <w:left w:val="single" w:color="auto" w:sz="8" w:space="0"/>
              <w:bottom w:val="single" w:color="000000" w:sz="4" w:space="0"/>
              <w:right w:val="single" w:color="000000" w:sz="4" w:space="0"/>
            </w:tcBorders>
            <w:noWrap w:val="0"/>
            <w:vAlign w:val="center"/>
          </w:tcPr>
          <w:p>
            <w:pPr>
              <w:spacing w:line="240" w:lineRule="exact"/>
              <w:rPr>
                <w:rFonts w:ascii="Times New Roman" w:hAnsi="Times New Roman" w:cs="Times New Roman"/>
                <w:b/>
                <w:bCs/>
                <w:color w:val="000000"/>
                <w:sz w:val="20"/>
                <w:szCs w:val="20"/>
              </w:rPr>
            </w:pPr>
          </w:p>
        </w:tc>
        <w:tc>
          <w:tcPr>
            <w:tcW w:w="158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left="72" w:leftChars="30" w:right="72" w:rightChars="30"/>
              <w:jc w:val="both"/>
              <w:rPr>
                <w:rFonts w:ascii="Times New Roman" w:hAnsi="Times New Roman" w:cs="Times New Roman"/>
                <w:color w:val="000000"/>
                <w:sz w:val="20"/>
                <w:szCs w:val="20"/>
              </w:rPr>
            </w:pPr>
            <w:r>
              <w:rPr>
                <w:rFonts w:ascii="Times New Roman" w:hAnsi="Times New Roman" w:cs="Times New Roman"/>
                <w:color w:val="000000"/>
                <w:sz w:val="20"/>
                <w:szCs w:val="20"/>
              </w:rPr>
              <w:t>#正高级</w:t>
            </w:r>
          </w:p>
        </w:tc>
        <w:tc>
          <w:tcPr>
            <w:tcW w:w="86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4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9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828"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8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000000" w:sz="4" w:space="0"/>
              <w:right w:val="single" w:color="auto" w:sz="8" w:space="0"/>
            </w:tcBorders>
            <w:noWrap w:val="0"/>
            <w:vAlign w:val="center"/>
          </w:tcPr>
          <w:p>
            <w:pPr>
              <w:spacing w:line="240" w:lineRule="exact"/>
              <w:jc w:val="center"/>
              <w:rPr>
                <w:rFonts w:ascii="Times New Roman" w:hAnsi="Times New Roman" w:cs="Times New Roman"/>
                <w:color w:val="000000"/>
                <w:sz w:val="20"/>
                <w:szCs w:val="20"/>
              </w:rPr>
            </w:pPr>
          </w:p>
        </w:tc>
      </w:tr>
      <w:tr>
        <w:tblPrEx>
          <w:tblCellMar>
            <w:top w:w="0" w:type="dxa"/>
            <w:left w:w="0" w:type="dxa"/>
            <w:bottom w:w="0" w:type="dxa"/>
            <w:right w:w="0" w:type="dxa"/>
          </w:tblCellMar>
        </w:tblPrEx>
        <w:trPr>
          <w:trHeight w:val="284" w:hRule="atLeast"/>
          <w:jc w:val="center"/>
        </w:trPr>
        <w:tc>
          <w:tcPr>
            <w:tcW w:w="632" w:type="dxa"/>
            <w:vMerge w:val="continue"/>
            <w:tcBorders>
              <w:top w:val="single" w:color="000000" w:sz="4" w:space="0"/>
              <w:left w:val="single" w:color="auto" w:sz="8" w:space="0"/>
              <w:bottom w:val="single" w:color="auto" w:sz="8" w:space="0"/>
              <w:right w:val="single" w:color="000000" w:sz="4" w:space="0"/>
            </w:tcBorders>
            <w:noWrap w:val="0"/>
            <w:vAlign w:val="center"/>
          </w:tcPr>
          <w:p>
            <w:pPr>
              <w:spacing w:line="240" w:lineRule="exact"/>
              <w:rPr>
                <w:rFonts w:ascii="Times New Roman" w:hAnsi="Times New Roman" w:cs="Times New Roman"/>
                <w:b/>
                <w:bCs/>
                <w:color w:val="000000"/>
                <w:sz w:val="20"/>
                <w:szCs w:val="20"/>
              </w:rPr>
            </w:pPr>
          </w:p>
        </w:tc>
        <w:tc>
          <w:tcPr>
            <w:tcW w:w="1581" w:type="dxa"/>
            <w:tcBorders>
              <w:top w:val="single" w:color="000000" w:sz="4" w:space="0"/>
              <w:left w:val="single" w:color="000000" w:sz="4" w:space="0"/>
              <w:bottom w:val="single" w:color="auto" w:sz="8" w:space="0"/>
              <w:right w:val="single" w:color="000000" w:sz="4" w:space="0"/>
            </w:tcBorders>
            <w:noWrap w:val="0"/>
            <w:vAlign w:val="center"/>
          </w:tcPr>
          <w:p>
            <w:pPr>
              <w:spacing w:line="240" w:lineRule="exact"/>
              <w:ind w:left="72" w:leftChars="30" w:right="72" w:rightChars="30"/>
              <w:jc w:val="both"/>
              <w:rPr>
                <w:rFonts w:ascii="Times New Roman" w:hAnsi="Times New Roman" w:cs="Times New Roman"/>
                <w:color w:val="000000"/>
                <w:sz w:val="20"/>
                <w:szCs w:val="20"/>
              </w:rPr>
            </w:pPr>
            <w:r>
              <w:rPr>
                <w:rFonts w:ascii="Times New Roman" w:hAnsi="Times New Roman" w:cs="Times New Roman"/>
                <w:color w:val="000000"/>
                <w:sz w:val="20"/>
                <w:szCs w:val="20"/>
              </w:rPr>
              <w:t>#副高级</w:t>
            </w:r>
          </w:p>
        </w:tc>
        <w:tc>
          <w:tcPr>
            <w:tcW w:w="860" w:type="dxa"/>
            <w:tcBorders>
              <w:top w:val="single" w:color="000000" w:sz="4" w:space="0"/>
              <w:left w:val="single" w:color="000000" w:sz="4" w:space="0"/>
              <w:bottom w:val="single" w:color="auto" w:sz="8"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44" w:type="dxa"/>
            <w:tcBorders>
              <w:top w:val="single" w:color="000000" w:sz="4" w:space="0"/>
              <w:left w:val="single" w:color="000000" w:sz="4" w:space="0"/>
              <w:bottom w:val="single" w:color="auto" w:sz="8"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99" w:type="dxa"/>
            <w:tcBorders>
              <w:top w:val="single" w:color="000000" w:sz="4" w:space="0"/>
              <w:left w:val="single" w:color="000000" w:sz="4" w:space="0"/>
              <w:bottom w:val="single" w:color="auto" w:sz="8"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865" w:type="dxa"/>
            <w:tcBorders>
              <w:top w:val="single" w:color="000000" w:sz="4" w:space="0"/>
              <w:left w:val="single" w:color="000000" w:sz="4" w:space="0"/>
              <w:bottom w:val="single" w:color="auto" w:sz="8"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auto" w:sz="8"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auto" w:sz="8"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36" w:type="dxa"/>
            <w:tcBorders>
              <w:top w:val="single" w:color="000000" w:sz="4" w:space="0"/>
              <w:left w:val="single" w:color="000000" w:sz="4" w:space="0"/>
              <w:bottom w:val="single" w:color="auto" w:sz="8"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828" w:type="dxa"/>
            <w:tcBorders>
              <w:top w:val="single" w:color="000000" w:sz="4" w:space="0"/>
              <w:left w:val="single" w:color="000000" w:sz="4" w:space="0"/>
              <w:bottom w:val="single" w:color="auto" w:sz="8"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auto" w:sz="8"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20" w:type="dxa"/>
            <w:tcBorders>
              <w:top w:val="single" w:color="000000" w:sz="4" w:space="0"/>
              <w:left w:val="single" w:color="000000" w:sz="4" w:space="0"/>
              <w:bottom w:val="single" w:color="auto" w:sz="8"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1085" w:type="dxa"/>
            <w:tcBorders>
              <w:top w:val="single" w:color="000000" w:sz="4" w:space="0"/>
              <w:left w:val="single" w:color="000000" w:sz="4" w:space="0"/>
              <w:bottom w:val="single" w:color="auto" w:sz="8" w:space="0"/>
              <w:right w:val="single" w:color="000000" w:sz="4" w:space="0"/>
            </w:tcBorders>
            <w:noWrap w:val="0"/>
            <w:vAlign w:val="center"/>
          </w:tcPr>
          <w:p>
            <w:pPr>
              <w:spacing w:line="240" w:lineRule="exact"/>
              <w:jc w:val="center"/>
              <w:rPr>
                <w:rFonts w:ascii="Times New Roman" w:hAnsi="Times New Roman" w:cs="Times New Roman"/>
                <w:color w:val="000000"/>
                <w:sz w:val="20"/>
                <w:szCs w:val="20"/>
              </w:rPr>
            </w:pPr>
          </w:p>
        </w:tc>
        <w:tc>
          <w:tcPr>
            <w:tcW w:w="932" w:type="dxa"/>
            <w:tcBorders>
              <w:top w:val="single" w:color="000000" w:sz="4" w:space="0"/>
              <w:left w:val="single" w:color="000000" w:sz="4" w:space="0"/>
              <w:bottom w:val="single" w:color="auto" w:sz="8" w:space="0"/>
              <w:right w:val="single" w:color="auto" w:sz="8" w:space="0"/>
            </w:tcBorders>
            <w:noWrap w:val="0"/>
            <w:vAlign w:val="center"/>
          </w:tcPr>
          <w:p>
            <w:pPr>
              <w:spacing w:line="240" w:lineRule="exact"/>
              <w:jc w:val="center"/>
              <w:rPr>
                <w:rFonts w:ascii="Times New Roman" w:hAnsi="Times New Roman" w:cs="Times New Roman"/>
                <w:color w:val="000000"/>
                <w:sz w:val="20"/>
                <w:szCs w:val="20"/>
              </w:rPr>
            </w:pPr>
          </w:p>
        </w:tc>
      </w:tr>
    </w:tbl>
    <w:p>
      <w:pPr>
        <w:spacing w:line="20" w:lineRule="exact"/>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textAlignment w:val="auto"/>
        <w:rPr>
          <w:rFonts w:hint="default" w:ascii="Times New Roman" w:hAnsi="Times New Roman" w:cs="Times New Roman"/>
        </w:rPr>
        <w:sectPr>
          <w:pgSz w:w="16838" w:h="11906" w:orient="landscape"/>
          <w:pgMar w:top="1531" w:right="1814" w:bottom="1531" w:left="1814" w:header="851" w:footer="1134" w:gutter="0"/>
          <w:pgNumType w:fmt="decimal"/>
          <w:cols w:space="720" w:num="1"/>
          <w:rtlGutter w:val="0"/>
          <w:docGrid w:type="lines" w:linePitch="312" w:charSpace="0"/>
        </w:sect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16"/>
        <w:keepNext w:val="0"/>
        <w:keepLines w:val="0"/>
        <w:pageBreakBefore w:val="0"/>
        <w:widowControl/>
        <w:kinsoku/>
        <w:wordWrap/>
        <w:overflowPunct/>
        <w:topLinePunct w:val="0"/>
        <w:autoSpaceDE/>
        <w:autoSpaceDN/>
        <w:bidi w:val="0"/>
        <w:adjustRightInd/>
        <w:snapToGrid/>
        <w:spacing w:line="200" w:lineRule="exact"/>
        <w:ind w:left="0" w:leftChars="0" w:firstLine="0" w:firstLineChars="0"/>
        <w:textAlignment w:val="auto"/>
        <w:rPr>
          <w:rFonts w:hint="default" w:ascii="Times New Roman" w:hAnsi="Times New Roman" w:cs="Times New Roman"/>
        </w:rPr>
      </w:pPr>
    </w:p>
    <w:p>
      <w:pPr>
        <w:pStyle w:val="2"/>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lang w:eastAsia="zh-CN"/>
        </w:rPr>
      </w:pPr>
    </w:p>
    <w:p>
      <w:pPr>
        <w:keepNext w:val="0"/>
        <w:keepLines w:val="0"/>
        <w:pageBreakBefore w:val="0"/>
        <w:widowControl w:val="0"/>
        <w:pBdr>
          <w:top w:val="single" w:color="auto" w:sz="8" w:space="1"/>
          <w:bottom w:val="single" w:color="auto" w:sz="8" w:space="1"/>
        </w:pBdr>
        <w:kinsoku/>
        <w:wordWrap/>
        <w:overflowPunct/>
        <w:topLinePunct w:val="0"/>
        <w:autoSpaceDE/>
        <w:autoSpaceDN/>
        <w:bidi w:val="0"/>
        <w:adjustRightInd/>
        <w:snapToGrid/>
        <w:spacing w:line="400" w:lineRule="exact"/>
        <w:textAlignment w:val="auto"/>
        <w:outlineLvl w:val="9"/>
        <w:rPr>
          <w:rFonts w:hint="default" w:ascii="Times New Roman" w:hAnsi="Times New Roman" w:eastAsia="仿宋_GB2312" w:cs="Times New Roman"/>
          <w:color w:val="000000" w:themeColor="text1"/>
          <w14:textFill>
            <w14:solidFill>
              <w14:schemeClr w14:val="tx1"/>
            </w14:solidFill>
          </w14:textFill>
        </w:rPr>
      </w:pPr>
      <w:r>
        <w:rPr>
          <w:rFonts w:hint="default" w:ascii="Times New Roman" w:hAnsi="Times New Roman" w:eastAsia="仿宋_GB2312" w:cs="Times New Roman"/>
          <w:color w:val="000000" w:themeColor="text1"/>
          <w:sz w:val="28"/>
          <w:szCs w:val="28"/>
          <w14:textFill>
            <w14:solidFill>
              <w14:schemeClr w14:val="tx1"/>
            </w14:solidFill>
          </w14:textFill>
        </w:rPr>
        <w:t xml:space="preserve">  湖南省人力资源和社会保障厅</w:t>
      </w:r>
      <w:r>
        <w:rPr>
          <w:rFonts w:hint="default" w:ascii="Times New Roman" w:hAnsi="Times New Roman" w:eastAsia="仿宋_GB2312" w:cs="Times New Roman"/>
          <w:color w:val="000000" w:themeColor="text1"/>
          <w:sz w:val="28"/>
          <w:szCs w:val="28"/>
          <w:lang w:eastAsia="zh-CN"/>
          <w14:textFill>
            <w14:solidFill>
              <w14:schemeClr w14:val="tx1"/>
            </w14:solidFill>
          </w14:textFill>
        </w:rPr>
        <w:t>办公室</w:t>
      </w: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8"/>
          <w:szCs w:val="28"/>
          <w14:textFill>
            <w14:solidFill>
              <w14:schemeClr w14:val="tx1"/>
            </w14:solidFill>
          </w14:textFill>
        </w:rPr>
        <w:t>20</w:t>
      </w: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24</w:t>
      </w:r>
      <w:r>
        <w:rPr>
          <w:rFonts w:hint="default" w:ascii="Times New Roman" w:hAnsi="Times New Roman" w:eastAsia="仿宋_GB2312" w:cs="Times New Roman"/>
          <w:color w:val="000000" w:themeColor="text1"/>
          <w:sz w:val="28"/>
          <w:szCs w:val="28"/>
          <w14:textFill>
            <w14:solidFill>
              <w14:schemeClr w14:val="tx1"/>
            </w14:solidFill>
          </w14:textFill>
        </w:rPr>
        <w:t>年</w:t>
      </w:r>
      <w:r>
        <w:rPr>
          <w:rFonts w:hint="default" w:ascii="Times New Roman" w:hAnsi="Times New Roman" w:eastAsia="仿宋_GB2312" w:cs="Times New Roman"/>
          <w:color w:val="000000" w:themeColor="text1"/>
          <w:sz w:val="28"/>
          <w:szCs w:val="28"/>
          <w:lang w:val="en-US" w:eastAsia="zh-CN"/>
          <w14:textFill>
            <w14:solidFill>
              <w14:schemeClr w14:val="tx1"/>
            </w14:solidFill>
          </w14:textFill>
        </w:rPr>
        <w:t>6</w:t>
      </w:r>
      <w:r>
        <w:rPr>
          <w:rFonts w:hint="default" w:ascii="Times New Roman" w:hAnsi="Times New Roman" w:eastAsia="仿宋_GB2312" w:cs="Times New Roman"/>
          <w:color w:val="000000" w:themeColor="text1"/>
          <w:sz w:val="28"/>
          <w:szCs w:val="28"/>
          <w14:textFill>
            <w14:solidFill>
              <w14:schemeClr w14:val="tx1"/>
            </w14:solidFill>
          </w14:textFill>
        </w:rPr>
        <w:t>月</w:t>
      </w:r>
      <w:r>
        <w:rPr>
          <w:rFonts w:hint="eastAsia" w:ascii="Times New Roman" w:hAnsi="Times New Roman" w:eastAsia="仿宋_GB2312" w:cs="Times New Roman"/>
          <w:color w:val="000000" w:themeColor="text1"/>
          <w:sz w:val="28"/>
          <w:szCs w:val="28"/>
          <w:lang w:val="en-US" w:eastAsia="zh-CN"/>
          <w14:textFill>
            <w14:solidFill>
              <w14:schemeClr w14:val="tx1"/>
            </w14:solidFill>
          </w14:textFill>
        </w:rPr>
        <w:t>26</w:t>
      </w:r>
      <w:r>
        <w:rPr>
          <w:rFonts w:hint="default" w:ascii="Times New Roman" w:hAnsi="Times New Roman" w:eastAsia="仿宋_GB2312" w:cs="Times New Roman"/>
          <w:color w:val="000000" w:themeColor="text1"/>
          <w:sz w:val="28"/>
          <w:szCs w:val="28"/>
          <w14:textFill>
            <w14:solidFill>
              <w14:schemeClr w14:val="tx1"/>
            </w14:solidFill>
          </w14:textFill>
        </w:rPr>
        <w:t>日印</w:t>
      </w:r>
      <w:r>
        <w:rPr>
          <w:rFonts w:hint="default" w:ascii="Times New Roman" w:hAnsi="Times New Roman" w:eastAsia="仿宋_GB2312" w:cs="Times New Roman"/>
          <w:color w:val="000000" w:themeColor="text1"/>
          <w:sz w:val="28"/>
          <w:szCs w:val="28"/>
          <w:lang w:eastAsia="zh-CN"/>
          <w14:textFill>
            <w14:solidFill>
              <w14:schemeClr w14:val="tx1"/>
            </w14:solidFill>
          </w14:textFill>
        </w:rPr>
        <w:t>发</w:t>
      </w:r>
    </w:p>
    <w:sectPr>
      <w:footerReference r:id="rId4" w:type="default"/>
      <w:pgSz w:w="11850" w:h="16783"/>
      <w:pgMar w:top="2098" w:right="1474" w:bottom="1984" w:left="1587" w:header="851" w:footer="1134"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简体">
    <w:altName w:val="方正仿宋_GBK"/>
    <w:panose1 w:val="03000509000000000000"/>
    <w:charset w:val="86"/>
    <w:family w:val="script"/>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Verdana">
    <w:altName w:val="Ubuntu"/>
    <w:panose1 w:val="020B0604030504040204"/>
    <w:charset w:val="00"/>
    <w:family w:val="swiss"/>
    <w:pitch w:val="default"/>
    <w:sig w:usb0="00000000" w:usb1="00000000"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简体">
    <w:altName w:val="楷体"/>
    <w:panose1 w:val="03000509000000000000"/>
    <w:charset w:val="86"/>
    <w:family w:val="script"/>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00584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00584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squar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79.2pt;mso-position-horizontal:outside;mso-position-horizontal-relative:margin;z-index:251659264;mso-width-relative:page;mso-height-relative:page;" filled="f" stroked="f" coordsize="21600,21600" o:gfxdata="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FgAAAGRycy9Q&#10;SwECFAAUAAAACACHTuJAIaLWi9QAAAAFAQAADwAAAAAAAAABACAAAAA4AAAAZHJzL2Rvd25yZXYu&#10;eG1sUEsBAhQAFAAAAAgAh07iQAZZ8qMiAgAAKwQAAA4AAAAAAAAAAQAgAAAAOQEAAGRycy9lMm9E&#10;b2MueG1sUEsFBgAAAAAGAAYAWQEAAM0FAAAAAA==&#10;">
              <v:fill on="f" focussize="0,0"/>
              <v:stroke on="f" weight="0.5pt"/>
              <v:imagedata o:title=""/>
              <o:lock v:ext="edit" aspectratio="f"/>
              <v:textbox inset="0mm,0mm,0mm,0mm" style="mso-fit-shape-to-text:t;">
                <w:txbxContent>
                  <w:p>
                    <w:pPr>
                      <w:pStyle w:val="11"/>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1YTY5OTZjNTM4MDlhMTJjYzgxNDM5NTQyZTk3N2UifQ=="/>
  </w:docVars>
  <w:rsids>
    <w:rsidRoot w:val="006A4642"/>
    <w:rsid w:val="0001689E"/>
    <w:rsid w:val="000307EB"/>
    <w:rsid w:val="0004103B"/>
    <w:rsid w:val="0008763D"/>
    <w:rsid w:val="00092957"/>
    <w:rsid w:val="000967C4"/>
    <w:rsid w:val="000A79B6"/>
    <w:rsid w:val="000C39D4"/>
    <w:rsid w:val="000D4F59"/>
    <w:rsid w:val="000D7DA7"/>
    <w:rsid w:val="000E737A"/>
    <w:rsid w:val="00126C04"/>
    <w:rsid w:val="00131FDB"/>
    <w:rsid w:val="00144909"/>
    <w:rsid w:val="00155454"/>
    <w:rsid w:val="00156434"/>
    <w:rsid w:val="00191F63"/>
    <w:rsid w:val="00195D54"/>
    <w:rsid w:val="00197A90"/>
    <w:rsid w:val="001A2653"/>
    <w:rsid w:val="001B0B2C"/>
    <w:rsid w:val="001C3516"/>
    <w:rsid w:val="001C5120"/>
    <w:rsid w:val="001D15F6"/>
    <w:rsid w:val="001E6A90"/>
    <w:rsid w:val="001F30C3"/>
    <w:rsid w:val="001F5DA1"/>
    <w:rsid w:val="00215784"/>
    <w:rsid w:val="00217117"/>
    <w:rsid w:val="0023374E"/>
    <w:rsid w:val="00251419"/>
    <w:rsid w:val="0025198E"/>
    <w:rsid w:val="00277693"/>
    <w:rsid w:val="002854DC"/>
    <w:rsid w:val="002919DC"/>
    <w:rsid w:val="002E263C"/>
    <w:rsid w:val="002F687F"/>
    <w:rsid w:val="0030299D"/>
    <w:rsid w:val="00314BB4"/>
    <w:rsid w:val="0031538B"/>
    <w:rsid w:val="0032016B"/>
    <w:rsid w:val="00327C4D"/>
    <w:rsid w:val="00327EC8"/>
    <w:rsid w:val="00331883"/>
    <w:rsid w:val="00351624"/>
    <w:rsid w:val="0035280F"/>
    <w:rsid w:val="00354459"/>
    <w:rsid w:val="00357F4B"/>
    <w:rsid w:val="00383875"/>
    <w:rsid w:val="00396F25"/>
    <w:rsid w:val="00397533"/>
    <w:rsid w:val="003A34ED"/>
    <w:rsid w:val="003B58BE"/>
    <w:rsid w:val="003F4D7B"/>
    <w:rsid w:val="003F6A7E"/>
    <w:rsid w:val="004177B9"/>
    <w:rsid w:val="00421A3B"/>
    <w:rsid w:val="004225B1"/>
    <w:rsid w:val="00450CCB"/>
    <w:rsid w:val="00471D8C"/>
    <w:rsid w:val="00481432"/>
    <w:rsid w:val="00486912"/>
    <w:rsid w:val="00486AF2"/>
    <w:rsid w:val="00493236"/>
    <w:rsid w:val="004960CD"/>
    <w:rsid w:val="004B2D79"/>
    <w:rsid w:val="004B44EC"/>
    <w:rsid w:val="004C191D"/>
    <w:rsid w:val="004C523F"/>
    <w:rsid w:val="004E0D52"/>
    <w:rsid w:val="004E4432"/>
    <w:rsid w:val="004F2D02"/>
    <w:rsid w:val="00504C9D"/>
    <w:rsid w:val="0053655D"/>
    <w:rsid w:val="005604F2"/>
    <w:rsid w:val="005629C6"/>
    <w:rsid w:val="00586877"/>
    <w:rsid w:val="00593F4B"/>
    <w:rsid w:val="005C62DC"/>
    <w:rsid w:val="005C6E85"/>
    <w:rsid w:val="005D57C5"/>
    <w:rsid w:val="005E60DE"/>
    <w:rsid w:val="00610934"/>
    <w:rsid w:val="0061709F"/>
    <w:rsid w:val="00620FCB"/>
    <w:rsid w:val="0062544E"/>
    <w:rsid w:val="00653EB1"/>
    <w:rsid w:val="0066574E"/>
    <w:rsid w:val="006A4642"/>
    <w:rsid w:val="006D4F33"/>
    <w:rsid w:val="006E0607"/>
    <w:rsid w:val="0070603B"/>
    <w:rsid w:val="00711F9D"/>
    <w:rsid w:val="007519A2"/>
    <w:rsid w:val="00753967"/>
    <w:rsid w:val="007C2015"/>
    <w:rsid w:val="007C5898"/>
    <w:rsid w:val="007D07AA"/>
    <w:rsid w:val="007D5499"/>
    <w:rsid w:val="007D73BC"/>
    <w:rsid w:val="007E2640"/>
    <w:rsid w:val="00816238"/>
    <w:rsid w:val="00893D5D"/>
    <w:rsid w:val="008A2BE7"/>
    <w:rsid w:val="008D1520"/>
    <w:rsid w:val="008D5B88"/>
    <w:rsid w:val="008E4D60"/>
    <w:rsid w:val="008E4E3C"/>
    <w:rsid w:val="008E6579"/>
    <w:rsid w:val="008E7926"/>
    <w:rsid w:val="00934E42"/>
    <w:rsid w:val="00943C72"/>
    <w:rsid w:val="00947C96"/>
    <w:rsid w:val="00960552"/>
    <w:rsid w:val="009952EA"/>
    <w:rsid w:val="009D0644"/>
    <w:rsid w:val="009D0A8D"/>
    <w:rsid w:val="009E1592"/>
    <w:rsid w:val="009E21BA"/>
    <w:rsid w:val="00A1130F"/>
    <w:rsid w:val="00A41A9A"/>
    <w:rsid w:val="00A4421B"/>
    <w:rsid w:val="00A46686"/>
    <w:rsid w:val="00A66E96"/>
    <w:rsid w:val="00A83AFE"/>
    <w:rsid w:val="00A85350"/>
    <w:rsid w:val="00A86D1B"/>
    <w:rsid w:val="00AA7421"/>
    <w:rsid w:val="00AB2934"/>
    <w:rsid w:val="00AF4DAA"/>
    <w:rsid w:val="00B02171"/>
    <w:rsid w:val="00B20B6D"/>
    <w:rsid w:val="00B2381C"/>
    <w:rsid w:val="00B3687B"/>
    <w:rsid w:val="00B547FC"/>
    <w:rsid w:val="00B66346"/>
    <w:rsid w:val="00B67C6E"/>
    <w:rsid w:val="00B80CDB"/>
    <w:rsid w:val="00B82086"/>
    <w:rsid w:val="00B838A2"/>
    <w:rsid w:val="00B95DC7"/>
    <w:rsid w:val="00BA47A7"/>
    <w:rsid w:val="00BA5376"/>
    <w:rsid w:val="00BC6AD9"/>
    <w:rsid w:val="00C01A63"/>
    <w:rsid w:val="00C207E2"/>
    <w:rsid w:val="00C34B9E"/>
    <w:rsid w:val="00C6186B"/>
    <w:rsid w:val="00C80FFB"/>
    <w:rsid w:val="00C8165F"/>
    <w:rsid w:val="00C849D5"/>
    <w:rsid w:val="00CA2013"/>
    <w:rsid w:val="00CA223E"/>
    <w:rsid w:val="00CC765C"/>
    <w:rsid w:val="00CD1022"/>
    <w:rsid w:val="00CE0C29"/>
    <w:rsid w:val="00CF7837"/>
    <w:rsid w:val="00D23103"/>
    <w:rsid w:val="00D2460B"/>
    <w:rsid w:val="00D31A32"/>
    <w:rsid w:val="00D36F9B"/>
    <w:rsid w:val="00D60CF1"/>
    <w:rsid w:val="00D71EEC"/>
    <w:rsid w:val="00D8076D"/>
    <w:rsid w:val="00D84BAC"/>
    <w:rsid w:val="00DC0C82"/>
    <w:rsid w:val="00DC5DB3"/>
    <w:rsid w:val="00DD2E11"/>
    <w:rsid w:val="00E06B7A"/>
    <w:rsid w:val="00E072E3"/>
    <w:rsid w:val="00E415E7"/>
    <w:rsid w:val="00E703C4"/>
    <w:rsid w:val="00E73EC7"/>
    <w:rsid w:val="00EA64D1"/>
    <w:rsid w:val="00ED2C4F"/>
    <w:rsid w:val="00F13B42"/>
    <w:rsid w:val="00F23DDC"/>
    <w:rsid w:val="00F3085D"/>
    <w:rsid w:val="00F4489D"/>
    <w:rsid w:val="00F57AD1"/>
    <w:rsid w:val="00F60501"/>
    <w:rsid w:val="00F734E4"/>
    <w:rsid w:val="00F74AAA"/>
    <w:rsid w:val="00F80B78"/>
    <w:rsid w:val="00FB5BE8"/>
    <w:rsid w:val="00FB6CD9"/>
    <w:rsid w:val="00FC66B5"/>
    <w:rsid w:val="00FE4184"/>
    <w:rsid w:val="00FF097E"/>
    <w:rsid w:val="00FF4AE0"/>
    <w:rsid w:val="00FF685F"/>
    <w:rsid w:val="1685018C"/>
    <w:rsid w:val="17944956"/>
    <w:rsid w:val="2B816790"/>
    <w:rsid w:val="2C097269"/>
    <w:rsid w:val="368D738B"/>
    <w:rsid w:val="3D7D95E9"/>
    <w:rsid w:val="3DBFAC1B"/>
    <w:rsid w:val="3FF72684"/>
    <w:rsid w:val="46205483"/>
    <w:rsid w:val="4ACD86E4"/>
    <w:rsid w:val="57F7D92D"/>
    <w:rsid w:val="5ADE68FF"/>
    <w:rsid w:val="5E9557F7"/>
    <w:rsid w:val="61230696"/>
    <w:rsid w:val="6568B736"/>
    <w:rsid w:val="666A0329"/>
    <w:rsid w:val="6BEE4307"/>
    <w:rsid w:val="707E5406"/>
    <w:rsid w:val="731E172B"/>
    <w:rsid w:val="736679BA"/>
    <w:rsid w:val="75BDB0D8"/>
    <w:rsid w:val="7677FC6E"/>
    <w:rsid w:val="77C83101"/>
    <w:rsid w:val="79F13BCD"/>
    <w:rsid w:val="7D7777FE"/>
    <w:rsid w:val="7DB049BF"/>
    <w:rsid w:val="7DFF5844"/>
    <w:rsid w:val="7E6F6F01"/>
    <w:rsid w:val="7EC52980"/>
    <w:rsid w:val="7FF79468"/>
    <w:rsid w:val="7FFBAADD"/>
    <w:rsid w:val="9FEFA582"/>
    <w:rsid w:val="B9BA72BD"/>
    <w:rsid w:val="B9DAC686"/>
    <w:rsid w:val="BAF979D7"/>
    <w:rsid w:val="BB7D54C1"/>
    <w:rsid w:val="BD7E1E51"/>
    <w:rsid w:val="BF9E84B9"/>
    <w:rsid w:val="CAEF48AC"/>
    <w:rsid w:val="CF5FA5ED"/>
    <w:rsid w:val="CFD562BA"/>
    <w:rsid w:val="D7FF7284"/>
    <w:rsid w:val="DEEEB6FE"/>
    <w:rsid w:val="DFDE592F"/>
    <w:rsid w:val="F77FEBB9"/>
    <w:rsid w:val="F7CF1EA0"/>
    <w:rsid w:val="F9FFBF5A"/>
    <w:rsid w:val="FA7DF024"/>
    <w:rsid w:val="FF7D015C"/>
    <w:rsid w:val="FFB75A51"/>
    <w:rsid w:val="FFBE32E3"/>
    <w:rsid w:val="FFFF5A8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index 5"/>
    <w:basedOn w:val="1"/>
    <w:next w:val="1"/>
    <w:qFormat/>
    <w:uiPriority w:val="0"/>
    <w:pPr>
      <w:ind w:left="1680"/>
    </w:pPr>
    <w:rPr>
      <w:rFonts w:ascii="Times New Roman" w:hAnsi="Times New Roman" w:eastAsia="宋体"/>
    </w:rPr>
  </w:style>
  <w:style w:type="paragraph" w:styleId="4">
    <w:name w:val="Body Text 3"/>
    <w:basedOn w:val="1"/>
    <w:qFormat/>
    <w:uiPriority w:val="0"/>
    <w:pPr>
      <w:spacing w:line="590" w:lineRule="exact"/>
    </w:pPr>
    <w:rPr>
      <w:rFonts w:eastAsia="方正仿宋简体"/>
      <w:sz w:val="32"/>
      <w:szCs w:val="30"/>
    </w:rPr>
  </w:style>
  <w:style w:type="paragraph" w:styleId="5">
    <w:name w:val="Body Text Indent"/>
    <w:basedOn w:val="1"/>
    <w:qFormat/>
    <w:uiPriority w:val="0"/>
    <w:pPr>
      <w:tabs>
        <w:tab w:val="left" w:pos="900"/>
        <w:tab w:val="left" w:pos="1080"/>
        <w:tab w:val="left" w:pos="1620"/>
      </w:tabs>
      <w:spacing w:line="590" w:lineRule="exact"/>
      <w:ind w:firstLine="640" w:firstLineChars="200"/>
    </w:pPr>
    <w:rPr>
      <w:rFonts w:eastAsia="方正仿宋简体"/>
      <w:sz w:val="32"/>
      <w:szCs w:val="28"/>
    </w:rPr>
  </w:style>
  <w:style w:type="paragraph" w:styleId="6">
    <w:name w:val="toc 5"/>
    <w:basedOn w:val="1"/>
    <w:next w:val="1"/>
    <w:qFormat/>
    <w:uiPriority w:val="0"/>
    <w:pPr>
      <w:widowControl w:val="0"/>
      <w:ind w:left="1680"/>
      <w:jc w:val="both"/>
    </w:pPr>
    <w:rPr>
      <w:rFonts w:ascii="Times New Roman" w:hAnsi="Times New Roman" w:cs="Times New Roman"/>
      <w:kern w:val="2"/>
      <w:sz w:val="21"/>
    </w:rPr>
  </w:style>
  <w:style w:type="paragraph" w:styleId="7">
    <w:name w:val="Plain Text"/>
    <w:basedOn w:val="1"/>
    <w:qFormat/>
    <w:uiPriority w:val="0"/>
    <w:rPr>
      <w:rFonts w:ascii="宋体" w:hAnsi="Courier New" w:cs="Courier New"/>
      <w:szCs w:val="21"/>
    </w:rPr>
  </w:style>
  <w:style w:type="paragraph" w:styleId="8">
    <w:name w:val="Date"/>
    <w:basedOn w:val="1"/>
    <w:next w:val="1"/>
    <w:qFormat/>
    <w:uiPriority w:val="0"/>
    <w:pPr>
      <w:ind w:left="100" w:leftChars="2500"/>
    </w:pPr>
  </w:style>
  <w:style w:type="paragraph" w:styleId="9">
    <w:name w:val="Body Text Indent 2"/>
    <w:basedOn w:val="1"/>
    <w:qFormat/>
    <w:uiPriority w:val="0"/>
    <w:pPr>
      <w:ind w:left="2799" w:leftChars="933" w:hanging="840" w:hangingChars="300"/>
    </w:pPr>
    <w:rPr>
      <w:sz w:val="28"/>
      <w:szCs w:val="28"/>
    </w:rPr>
  </w:style>
  <w:style w:type="paragraph" w:styleId="10">
    <w:name w:val="Balloon Text"/>
    <w:basedOn w:val="1"/>
    <w:qFormat/>
    <w:uiPriority w:val="0"/>
    <w:rPr>
      <w:sz w:val="18"/>
      <w:szCs w:val="18"/>
    </w:rPr>
  </w:style>
  <w:style w:type="paragraph" w:styleId="11">
    <w:name w:val="footer"/>
    <w:basedOn w:val="1"/>
    <w:next w:val="3"/>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footnote text"/>
    <w:basedOn w:val="1"/>
    <w:link w:val="23"/>
    <w:qFormat/>
    <w:uiPriority w:val="0"/>
    <w:pPr>
      <w:snapToGrid w:val="0"/>
      <w:jc w:val="left"/>
    </w:pPr>
  </w:style>
  <w:style w:type="paragraph" w:styleId="14">
    <w:name w:val="Body Text 2"/>
    <w:basedOn w:val="1"/>
    <w:qFormat/>
    <w:uiPriority w:val="0"/>
    <w:rPr>
      <w:rFonts w:eastAsia="方正小标宋简体"/>
      <w:w w:val="85"/>
      <w:sz w:val="96"/>
      <w:szCs w:val="20"/>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6">
    <w:name w:val="Body Text First Indent 2"/>
    <w:basedOn w:val="5"/>
    <w:qFormat/>
    <w:uiPriority w:val="0"/>
    <w:pPr>
      <w:ind w:firstLine="420" w:firstLineChars="200"/>
    </w:pPr>
    <w:rPr>
      <w:rFonts w:ascii="Calibri" w:hAnsi="Calibri" w:eastAsia="宋体" w:cs="Times New Roman"/>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qFormat/>
    <w:uiPriority w:val="0"/>
    <w:rPr>
      <w:b/>
      <w:bCs/>
    </w:rPr>
  </w:style>
  <w:style w:type="character" w:styleId="21">
    <w:name w:val="page number"/>
    <w:basedOn w:val="19"/>
    <w:qFormat/>
    <w:uiPriority w:val="0"/>
  </w:style>
  <w:style w:type="character" w:styleId="22">
    <w:name w:val="Hyperlink"/>
    <w:qFormat/>
    <w:uiPriority w:val="0"/>
    <w:rPr>
      <w:color w:val="0000FF"/>
      <w:u w:val="single"/>
    </w:rPr>
  </w:style>
  <w:style w:type="character" w:customStyle="1" w:styleId="23">
    <w:name w:val="脚注文本 Char"/>
    <w:link w:val="13"/>
    <w:qFormat/>
    <w:uiPriority w:val="0"/>
    <w:rPr>
      <w:kern w:val="2"/>
      <w:sz w:val="21"/>
      <w:szCs w:val="24"/>
    </w:rPr>
  </w:style>
  <w:style w:type="paragraph" w:customStyle="1" w:styleId="24">
    <w:name w:val="FootnoteText"/>
    <w:basedOn w:val="1"/>
    <w:qFormat/>
    <w:uiPriority w:val="0"/>
    <w:pPr>
      <w:snapToGrid w:val="0"/>
      <w:jc w:val="left"/>
      <w:textAlignment w:val="baseline"/>
    </w:pPr>
  </w:style>
  <w:style w:type="paragraph" w:customStyle="1" w:styleId="25">
    <w:name w:val="List Paragraph"/>
    <w:basedOn w:val="1"/>
    <w:qFormat/>
    <w:uiPriority w:val="0"/>
    <w:pPr>
      <w:ind w:firstLine="420" w:firstLineChars="200"/>
    </w:pPr>
    <w:rPr>
      <w:rFonts w:ascii="Calibri" w:hAnsi="Calibri"/>
      <w:szCs w:val="22"/>
    </w:rPr>
  </w:style>
  <w:style w:type="paragraph" w:customStyle="1" w:styleId="26">
    <w:name w:val="Char Char Char Char Char Char1 Char"/>
    <w:basedOn w:val="1"/>
    <w:qFormat/>
    <w:uiPriority w:val="0"/>
    <w:pPr>
      <w:widowControl/>
      <w:spacing w:after="160" w:line="240" w:lineRule="exact"/>
      <w:jc w:val="left"/>
    </w:pPr>
    <w:rPr>
      <w:rFonts w:ascii="Verdana" w:hAnsi="Verdana" w:eastAsia="仿宋_GB2312"/>
      <w:kern w:val="0"/>
      <w:sz w:val="30"/>
      <w:szCs w:val="30"/>
      <w:lang w:eastAsia="en-US"/>
    </w:rPr>
  </w:style>
  <w:style w:type="character" w:customStyle="1" w:styleId="27">
    <w:name w:val="font21"/>
    <w:qFormat/>
    <w:uiPriority w:val="0"/>
    <w:rPr>
      <w:rFonts w:hint="eastAsia" w:ascii="宋体" w:hAnsi="宋体" w:eastAsia="宋体"/>
      <w:b/>
      <w:bCs/>
      <w:color w:val="000000"/>
      <w:sz w:val="22"/>
      <w:szCs w:val="22"/>
      <w:u w:val="none"/>
    </w:rPr>
  </w:style>
  <w:style w:type="character" w:customStyle="1" w:styleId="28">
    <w:name w:val="font01"/>
    <w:qFormat/>
    <w:uiPriority w:val="0"/>
    <w:rPr>
      <w:rFonts w:hint="eastAsia" w:ascii="宋体" w:hAnsi="宋体" w:eastAsia="宋体"/>
      <w:b/>
      <w:bCs/>
      <w:color w:val="000000"/>
      <w:sz w:val="22"/>
      <w:szCs w:val="22"/>
      <w:u w:val="none"/>
      <w:vertAlign w:val="superscript"/>
    </w:rPr>
  </w:style>
  <w:style w:type="character" w:customStyle="1" w:styleId="29">
    <w:name w:val="UserStyle_3"/>
    <w:qFormat/>
    <w:uiPriority w:val="0"/>
  </w:style>
  <w:style w:type="character" w:customStyle="1" w:styleId="30">
    <w:name w:val="font71"/>
    <w:qFormat/>
    <w:uiPriority w:val="0"/>
    <w:rPr>
      <w:rFonts w:hint="eastAsia" w:ascii="仿宋_GB2312" w:eastAsia="仿宋_GB2312"/>
      <w:b/>
      <w:bCs/>
      <w:color w:val="000000"/>
      <w:sz w:val="32"/>
      <w:szCs w:val="32"/>
      <w:u w:val="none"/>
    </w:rPr>
  </w:style>
  <w:style w:type="character" w:customStyle="1" w:styleId="31">
    <w:name w:val="font81"/>
    <w:qFormat/>
    <w:uiPriority w:val="0"/>
    <w:rPr>
      <w:rFonts w:hint="eastAsia" w:ascii="仿宋_GB2312" w:eastAsia="仿宋_GB2312"/>
      <w:color w:val="000000"/>
      <w:sz w:val="32"/>
      <w:szCs w:val="32"/>
      <w:u w:val="none"/>
    </w:rPr>
  </w:style>
  <w:style w:type="character" w:customStyle="1" w:styleId="32">
    <w:name w:val="font31"/>
    <w:qFormat/>
    <w:uiPriority w:val="0"/>
    <w:rPr>
      <w:rFonts w:hint="default" w:ascii="Times New Roman" w:hAnsi="Times New Roman" w:cs="Times New Roman"/>
      <w:color w:val="000000"/>
      <w:sz w:val="32"/>
      <w:szCs w:val="32"/>
      <w:u w:val="none"/>
    </w:rPr>
  </w:style>
  <w:style w:type="character" w:customStyle="1" w:styleId="33">
    <w:name w:val="16"/>
    <w:qFormat/>
    <w:uiPriority w:val="0"/>
    <w:rPr>
      <w:rFonts w:hint="default" w:ascii="Times New Roman" w:hAnsi="Times New Roman" w:eastAsia="宋体" w:cs="Times New Roman"/>
    </w:rPr>
  </w:style>
  <w:style w:type="character" w:customStyle="1" w:styleId="34">
    <w:name w:val="15"/>
    <w:qFormat/>
    <w:uiPriority w:val="0"/>
    <w:rPr>
      <w:rFonts w:hint="eastAsia" w:ascii="黑体" w:eastAsia="黑体" w:cs="Times New Roman"/>
      <w:color w:val="000000"/>
      <w:sz w:val="20"/>
      <w:szCs w:val="20"/>
    </w:rPr>
  </w:style>
  <w:style w:type="character" w:customStyle="1" w:styleId="35">
    <w:name w:val="17"/>
    <w:qFormat/>
    <w:uiPriority w:val="0"/>
    <w:rPr>
      <w:rFonts w:hint="eastAsia" w:ascii="宋体" w:hAnsi="宋体" w:eastAsia="宋体" w:cs="Times New Roman"/>
      <w:b/>
      <w:bCs/>
      <w:color w:val="000000"/>
      <w:sz w:val="20"/>
      <w:szCs w:val="20"/>
    </w:rPr>
  </w:style>
  <w:style w:type="character" w:customStyle="1" w:styleId="36">
    <w:name w:val="18"/>
    <w:qFormat/>
    <w:uiPriority w:val="0"/>
    <w:rPr>
      <w:rFonts w:hint="default" w:ascii="Times New Roman" w:hAnsi="Times New Roman" w:eastAsia="宋体" w:cs="Times New Roman"/>
      <w:b/>
      <w:bCs/>
      <w:color w:val="000000"/>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www.ftpdown.com</Company>
  <Pages>8</Pages>
  <Words>2033</Words>
  <Characters>2341</Characters>
  <Lines>98</Lines>
  <Paragraphs>27</Paragraphs>
  <TotalTime>1</TotalTime>
  <ScaleCrop>false</ScaleCrop>
  <LinksUpToDate>false</LinksUpToDate>
  <CharactersWithSpaces>2530</CharactersWithSpaces>
  <Application>WPS Office_11.8.2.9864_F1E327BC-269C-435d-A152-05C5408002CA</Application>
  <DocSecurity>5</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2023-06-24T07:39:00Z</dcterms:created>
  <dc:creator>FtpDown</dc:creator>
  <cp:lastModifiedBy>greatwall</cp:lastModifiedBy>
  <cp:lastPrinted>2024-06-23T08:58:00Z</cp:lastPrinted>
  <dcterms:modified xsi:type="dcterms:W3CDTF">2024-07-07T09:08:10Z</dcterms:modified>
  <dc:title>首届长沙农民工卡拉OK大奖赛活动方案</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82FA99A96C79EB9BF2517266DD9B423F</vt:lpwstr>
  </property>
</Properties>
</file>