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2020年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邵阳市大祥区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火车南站街道办事处</w:t>
      </w:r>
    </w:p>
    <w:p>
      <w:pPr>
        <w:widowControl/>
        <w:spacing w:line="60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部门绩效评价报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告</w:t>
      </w:r>
    </w:p>
    <w:p>
      <w:pPr>
        <w:widowControl/>
        <w:spacing w:line="600" w:lineRule="exact"/>
        <w:jc w:val="both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widowControl/>
        <w:spacing w:line="60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eastAsia="方正小标宋_GBK"/>
          <w:bCs/>
          <w:kern w:val="0"/>
          <w:sz w:val="36"/>
          <w:szCs w:val="36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大祥区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火车南站街道办事处部门概况</w:t>
      </w:r>
    </w:p>
    <w:p>
      <w:pPr>
        <w:widowControl/>
        <w:spacing w:line="600" w:lineRule="exact"/>
        <w:jc w:val="both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（一）部门职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责</w:t>
      </w:r>
    </w:p>
    <w:p>
      <w:pPr>
        <w:shd w:val="clear" w:color="auto" w:fill="FFFFFF"/>
        <w:spacing w:line="760" w:lineRule="atLeas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邵阳市大祥区火车南站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街道办事处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是大祥区政府的派出机构，受区政府直接领导，行使区政府赋予的权力，负责辖区内经济建设、城市管理、计划生育、社区服务、基层党建、精神文明建设、社会救济保障、综合维稳等行政管理工作。</w:t>
      </w:r>
    </w:p>
    <w:p>
      <w:pPr>
        <w:shd w:val="clear" w:color="auto" w:fill="FFFFFF"/>
        <w:spacing w:line="760" w:lineRule="atLeas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主要职责为：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）、宣传、贯彻、执行和落实党在城市的各项方针政策和国家的法律法规，维护城市基本经济制和社会稳定和谐发展。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拟定区域内经济社会和产业发展规划；推进市场经济系建设，着力营造良好的发展环境，提供示范引导和政策服务；指导经济结构调整和推进经济增长方式转变，形成地域产业特色；加强市场信息服务，促进居民增收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编制街道社区各项社会事业发展规划；发展教育、体育、科技、文化卫生、生态环境等城镇各项社会公益事业，为居民提供政策、科技、就业技能、劳务输出培训等服务；落实惠民措施，着力解决群众生产生活的突出问题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加强社会管理和公共服务职能，推进依法行政，严格依法履行职责；拓宽服务渠道，改进服务方式，通过“一站式”服务、办事代理制等多种形式，方便群众办事；处理来信来访，维护社会稳定；综合发挥人民调解、行政调解和司法调解的作用，维护社会主义公平公正，保障居民、法人和外来务工人员合法权益；扶助残疾人、孤寡老人、五保户等弱势群体；推进城市精神文明建设；收集上报辖区的社情民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加强基层组织建设和政权建设，巩固党在城市的执政基础；抓好民主集中制建设，扩大城市基层民主；推进社区事务、财务公开；推动社区建设，促进社会组织健康发展，增强社会自治功能，建设社会主义和谐新社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）、配合财政部门管理使用好下拨的行政事业性经费，监督管理使用好各类专项资金；努力做好城市管理、民政、教育、体育、卫生、街道社区规划建设、安全生产监督、人口和计划生育、环境保护等各项工作。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）、承担法律、法规、规章和上级规定的其他事项，办理好区委、区政府交办的其他工作。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  <w:lang w:eastAsia="zh-CN"/>
        </w:rPr>
        <w:t>（二）</w:t>
      </w:r>
      <w:r>
        <w:rPr>
          <w:rFonts w:hint="eastAsia" w:ascii="黑体" w:hAnsi="黑体" w:eastAsia="黑体"/>
          <w:bCs/>
          <w:kern w:val="0"/>
          <w:sz w:val="32"/>
          <w:szCs w:val="32"/>
        </w:rPr>
        <w:t>机构设置及决算单位构成</w:t>
      </w:r>
    </w:p>
    <w:p>
      <w:pPr>
        <w:widowControl/>
        <w:spacing w:line="60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楷体_GB2312" w:hAnsi="宋体" w:eastAsia="楷体_GB2312"/>
          <w:b/>
          <w:bCs/>
          <w:kern w:val="0"/>
          <w:sz w:val="32"/>
          <w:szCs w:val="32"/>
        </w:rPr>
        <w:t>内设机构设置。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邵阳市大祥区火车南站街道办事处内设机构包括：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街道共设置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个内设科室（党政综合办、基层党建办、经济发展办、城市管理办、公共服务办、公共安全办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、财政所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个直属事业单位（政务服务中心（党群服务中心）、文化综合服务中心、网格化综合服务中心、退役军人服务站、综合行政执法大队）；街道成立之初辖九十亭、铜铃、桔园、板铺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个社区，</w:t>
      </w:r>
      <w:r>
        <w:rPr>
          <w:rFonts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月，因大祥区行政区域调整，红星、祭旗社区划归火车南站街道管理。</w:t>
      </w:r>
    </w:p>
    <w:p>
      <w:pPr>
        <w:jc w:val="both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二、财务收支情况说明</w:t>
      </w:r>
    </w:p>
    <w:p>
      <w:pPr>
        <w:pStyle w:val="7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  <w:u w:val="none"/>
        </w:rPr>
      </w:pPr>
      <w:r>
        <w:rPr>
          <w:rFonts w:hint="eastAsia" w:hAnsi="黑体" w:cs="Times New Roman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Ansi="黑体" w:cs="Times New Roman"/>
          <w:color w:val="auto"/>
          <w:sz w:val="32"/>
          <w:szCs w:val="32"/>
          <w:u w:val="none"/>
        </w:rPr>
        <w:t>收入决算情况说明</w:t>
      </w:r>
    </w:p>
    <w:p>
      <w:pPr>
        <w:pStyle w:val="7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本年收入合计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2761.49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万元，其中：财政拨款收入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1666.7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60.36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%；上级补助收入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%；事业收入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%；经营收入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%；附属单位上缴收入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%；其他收入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1094.79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39.64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%。</w:t>
      </w:r>
    </w:p>
    <w:p>
      <w:pPr>
        <w:pStyle w:val="7"/>
        <w:spacing w:line="600" w:lineRule="exact"/>
        <w:ind w:firstLine="640" w:firstLineChars="200"/>
        <w:rPr>
          <w:rFonts w:hAnsi="黑体" w:cs="Times New Roman"/>
          <w:color w:val="auto"/>
          <w:sz w:val="32"/>
          <w:szCs w:val="32"/>
          <w:u w:val="none"/>
        </w:rPr>
      </w:pPr>
      <w:r>
        <w:rPr>
          <w:rFonts w:hint="eastAsia" w:hAnsi="黑体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Ansi="黑体" w:cs="Times New Roman"/>
          <w:color w:val="auto"/>
          <w:sz w:val="32"/>
          <w:szCs w:val="32"/>
          <w:u w:val="none"/>
        </w:rPr>
        <w:t>、支出决算情况说明</w:t>
      </w:r>
    </w:p>
    <w:p>
      <w:pPr>
        <w:pStyle w:val="7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本年支出合计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2889.89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万元，其中：基本支出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2228.39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77.1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%；项目支出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661.5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22.9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%；上缴上级支出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%；经营支出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%；对附属单位补助支出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%。</w:t>
      </w:r>
    </w:p>
    <w:p>
      <w:pPr>
        <w:pStyle w:val="7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收支结余情况说明</w:t>
      </w:r>
    </w:p>
    <w:p>
      <w:pPr>
        <w:pStyle w:val="7"/>
        <w:numPr>
          <w:ilvl w:val="0"/>
          <w:numId w:val="0"/>
        </w:numPr>
        <w:spacing w:line="600" w:lineRule="exact"/>
        <w:ind w:left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/>
        </w:rPr>
        <w:t>2020年，本单位年末结转和结余资金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437.64万</w:t>
      </w:r>
      <w:r>
        <w:rPr>
          <w:rFonts w:hint="eastAsia" w:ascii="仿宋_GB2312" w:hAnsi="仿宋_GB2312" w:eastAsia="仿宋_GB2312" w:cs="仿宋_GB2312"/>
          <w:sz w:val="32"/>
          <w:lang w:val="en-US"/>
        </w:rPr>
        <w:t>元，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lang w:val="en-US"/>
        </w:rPr>
        <w:t>基本支出结转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437.64万</w:t>
      </w:r>
      <w:r>
        <w:rPr>
          <w:rFonts w:hint="eastAsia" w:ascii="仿宋_GB2312" w:hAnsi="仿宋_GB2312" w:eastAsia="仿宋_GB2312" w:cs="仿宋_GB2312"/>
          <w:sz w:val="32"/>
          <w:lang w:val="en-US"/>
        </w:rPr>
        <w:t>元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，项目结转0万</w:t>
      </w:r>
      <w:r>
        <w:rPr>
          <w:rFonts w:hint="eastAsia" w:ascii="仿宋_GB2312" w:hAnsi="仿宋_GB2312" w:eastAsia="仿宋_GB2312" w:cs="仿宋_GB2312"/>
          <w:sz w:val="32"/>
          <w:lang w:val="en-US"/>
        </w:rPr>
        <w:t>元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。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hAnsi="黑体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4、</w:t>
      </w:r>
      <w: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支出绩效情况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严格遵守各项财经纪律和财务管理制度，及时公开预决算，自觉接受财政和社会监督。加强财务管理，强化预算编制和执行，有效实施内部监督和控制，保证会计资料的真实性和完整性。实行“收支两条线”，确保财务收支平衡，加强财产物资管理，保障各项工作正常开展和目标任务完成。整体支出平稳，较好地实现社会效益和可持续效益目标。</w:t>
      </w:r>
    </w:p>
    <w:p>
      <w:pPr>
        <w:pStyle w:val="7"/>
        <w:numPr>
          <w:ilvl w:val="0"/>
          <w:numId w:val="0"/>
        </w:numPr>
        <w:spacing w:line="600" w:lineRule="exact"/>
        <w:ind w:leftChars="200"/>
        <w:rPr>
          <w:rFonts w:hint="eastAsia" w:ascii="仿宋" w:hAnsi="仿宋" w:eastAsia="仿宋" w:cs="仿宋"/>
          <w:sz w:val="32"/>
          <w:lang w:val="en-US" w:eastAsia="zh-CN"/>
        </w:rPr>
      </w:pP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hAnsi="黑体" w:cs="Times New Roman"/>
          <w:color w:val="auto"/>
          <w:sz w:val="32"/>
          <w:szCs w:val="32"/>
          <w:u w:val="none"/>
          <w:lang w:eastAsia="zh-CN"/>
        </w:rPr>
      </w:pPr>
      <w:r>
        <w:rPr>
          <w:rFonts w:hAnsi="黑体" w:cs="Times New Roman"/>
          <w:color w:val="auto"/>
          <w:sz w:val="32"/>
          <w:szCs w:val="32"/>
          <w:u w:val="none"/>
        </w:rPr>
        <w:t>关于</w:t>
      </w:r>
      <w:r>
        <w:rPr>
          <w:rFonts w:hint="eastAsia" w:hAnsi="黑体" w:cs="Times New Roman"/>
          <w:color w:val="auto"/>
          <w:sz w:val="32"/>
          <w:szCs w:val="32"/>
          <w:u w:val="none"/>
          <w:lang w:val="en-US" w:eastAsia="zh-CN"/>
        </w:rPr>
        <w:t>2020</w:t>
      </w:r>
      <w:r>
        <w:rPr>
          <w:rFonts w:hAnsi="黑体" w:cs="Times New Roman"/>
          <w:color w:val="auto"/>
          <w:sz w:val="32"/>
          <w:szCs w:val="32"/>
          <w:u w:val="none"/>
        </w:rPr>
        <w:t>年度预算绩效情况说</w:t>
      </w:r>
      <w:r>
        <w:rPr>
          <w:rFonts w:hint="eastAsia" w:hAnsi="黑体" w:cs="Times New Roman"/>
          <w:color w:val="auto"/>
          <w:sz w:val="32"/>
          <w:szCs w:val="32"/>
          <w:u w:val="none"/>
          <w:lang w:eastAsia="zh-CN"/>
        </w:rPr>
        <w:t>明</w:t>
      </w:r>
    </w:p>
    <w:p>
      <w:pPr>
        <w:widowControl/>
        <w:shd w:val="clear" w:color="auto" w:fill="FFFFFF"/>
        <w:spacing w:beforeLines="50" w:afterLines="50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部门整体支出和项目支出实行绩效目标管理，纳入2020年部门整体支出绩效目标的金额</w:t>
      </w:r>
      <w:r>
        <w:rPr>
          <w:rFonts w:eastAsia="仿宋_GB2312" w:cs="仿宋_GB2312"/>
          <w:kern w:val="0"/>
          <w:sz w:val="32"/>
          <w:szCs w:val="32"/>
        </w:rPr>
        <w:t>1023.35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万元，其中，基本支出</w:t>
      </w:r>
      <w:r>
        <w:rPr>
          <w:rFonts w:eastAsia="仿宋_GB2312" w:cs="仿宋_GB2312"/>
          <w:kern w:val="0"/>
          <w:sz w:val="32"/>
          <w:szCs w:val="32"/>
        </w:rPr>
        <w:t>1023.35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万元，项目支出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万元。</w:t>
      </w:r>
    </w:p>
    <w:p>
      <w:pPr>
        <w:pStyle w:val="7"/>
        <w:numPr>
          <w:ilvl w:val="0"/>
          <w:numId w:val="0"/>
        </w:numPr>
        <w:spacing w:line="600" w:lineRule="exact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四、绩效完成情况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1、着力经济强街，在发展上实现新突破。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2、着力党建领航，在效能上确保新提升。落实党建工作责任制，狠抓“五化”建设，加强软弱涣散党组织整顿。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3、着力作风建设，提升优质服务能力。加强作风建设，严明纪律要求。根据区委关于作风建设的相关要求，街道党工委制定完善了《火车南站街道干部作风建设管理办法》，成立街道作风建设督查组，每周由班子成员带队负责街道干部考勤和督查工作，定期进行通报，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4、着力平安护街，在维稳上开创新局面。信访工作开创新局面。强化举措，源头化解信访矛盾。综治维稳开创新局面，扫黑除恶，</w:t>
      </w:r>
      <w:r>
        <w:rPr>
          <w:rFonts w:hint="eastAsia" w:ascii="仿宋_GB2312" w:hAnsi="仿宋_GB2312" w:eastAsia="仿宋_GB2312" w:cs="仿宋_GB2312"/>
          <w:sz w:val="32"/>
          <w:u w:val="none"/>
        </w:rPr>
        <w:t>治安整治，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平安创建，</w:t>
      </w:r>
      <w:r>
        <w:rPr>
          <w:rFonts w:hint="eastAsia" w:ascii="仿宋_GB2312" w:hAnsi="仿宋_GB2312" w:eastAsia="仿宋_GB2312" w:cs="仿宋_GB2312"/>
          <w:sz w:val="32"/>
          <w:u w:val="none"/>
        </w:rPr>
        <w:t>矛盾纠纷调处和化解，取得了重大的成果。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5、着力生态美街，在品质上得到新改善。</w:t>
      </w: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>6、着力民生惠街，在服务上取得新成果。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着力加强社会救助体系建设，充分保障弱势群体基本生活。先后较高标准建成街道政务中心、劳动就业服务平台。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643" w:firstLineChars="200"/>
        <w:rPr>
          <w:rFonts w:hint="eastAsia" w:ascii="黑体" w:hAnsi="黑体" w:eastAsia="黑体" w:cs="黑体"/>
          <w:b/>
          <w:bCs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i w:val="0"/>
          <w:caps w:val="0"/>
          <w:color w:val="555555"/>
          <w:spacing w:val="0"/>
          <w:sz w:val="32"/>
          <w:szCs w:val="32"/>
          <w:shd w:val="clear" w:fill="FFFFFF"/>
        </w:rPr>
        <w:t>、评价结论及建议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555555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（一）评价结论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综上所述，我单位在预算编制、预算执行、支出绩效方面，严格按照规定执行，合理安排支出，使财政资金发挥最大使用效益。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（二）存在问题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预算管理和财务管理有待加强，经费核算需进一步完善。在核算过程中部分支出难以区分支出范围，资金使用存在界限不清的现象。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（三）改进建议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1、细化预算编制工作，认真做好年初预算编制。进一步加强单位内部各股室的预算管理意识，严格按照预算编制的相关要求进行编制。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2、加强财务管理，严格财务审核。加强单位财务管理，健全单位财务管理制度体系，规范单位财务行为。在费用报销时，按照预算规定的项目和用途进行资金使用审核、支付及财务核算，预防超支现象的发生。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3、加强对相关人员培训，特别是针对《预算法》、《政府会计制度》等方面学习培训，规范部门预算收支核算，切实提高部门预算收支管理水平。</w:t>
      </w:r>
    </w:p>
    <w:p>
      <w:pPr>
        <w:pStyle w:val="7"/>
        <w:numPr>
          <w:ilvl w:val="0"/>
          <w:numId w:val="0"/>
        </w:numPr>
        <w:spacing w:line="600" w:lineRule="exact"/>
        <w:ind w:leftChars="4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p>
      <w:pPr>
        <w:pStyle w:val="7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74F2C"/>
    <w:rsid w:val="049B1DAB"/>
    <w:rsid w:val="073B7770"/>
    <w:rsid w:val="07B264E8"/>
    <w:rsid w:val="0E8317EF"/>
    <w:rsid w:val="0F535A31"/>
    <w:rsid w:val="15361BB8"/>
    <w:rsid w:val="155F4AA1"/>
    <w:rsid w:val="18462ABE"/>
    <w:rsid w:val="18A904EC"/>
    <w:rsid w:val="18B34D43"/>
    <w:rsid w:val="18D63FDF"/>
    <w:rsid w:val="197B5CE1"/>
    <w:rsid w:val="1D027955"/>
    <w:rsid w:val="220F01D5"/>
    <w:rsid w:val="227D69A7"/>
    <w:rsid w:val="23FE56F3"/>
    <w:rsid w:val="2629139A"/>
    <w:rsid w:val="2C630126"/>
    <w:rsid w:val="2DD106FE"/>
    <w:rsid w:val="2EB841E3"/>
    <w:rsid w:val="321E264C"/>
    <w:rsid w:val="33E067D2"/>
    <w:rsid w:val="39992CD2"/>
    <w:rsid w:val="3D8D2D62"/>
    <w:rsid w:val="421E713B"/>
    <w:rsid w:val="4D970A96"/>
    <w:rsid w:val="4FB57455"/>
    <w:rsid w:val="51FB4BE0"/>
    <w:rsid w:val="52600143"/>
    <w:rsid w:val="56CF6441"/>
    <w:rsid w:val="58D816A4"/>
    <w:rsid w:val="5A765FA5"/>
    <w:rsid w:val="5B1F051B"/>
    <w:rsid w:val="5C985DE2"/>
    <w:rsid w:val="5E9D018F"/>
    <w:rsid w:val="61C934F9"/>
    <w:rsid w:val="64F718D5"/>
    <w:rsid w:val="666D7A6C"/>
    <w:rsid w:val="667843FE"/>
    <w:rsid w:val="669319E0"/>
    <w:rsid w:val="6DD74F2C"/>
    <w:rsid w:val="70806DD1"/>
    <w:rsid w:val="71271E48"/>
    <w:rsid w:val="74CC2343"/>
    <w:rsid w:val="761847AF"/>
    <w:rsid w:val="76C05E5D"/>
    <w:rsid w:val="77EC156E"/>
    <w:rsid w:val="78B917D2"/>
    <w:rsid w:val="7AA51542"/>
    <w:rsid w:val="7C5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2021-09-08T09:23:00Z</dcterms:created>
  <dc:creator>舍  得</dc:creator>
  <cp:lastModifiedBy>舍  得</cp:lastModifiedBy>
  <dcterms:modified xsi:type="dcterms:W3CDTF">2021-09-24T01:21:33Z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38A3963F4EC549D3BC8B711BDA7CF0FE</vt:lpwstr>
  </property>
</Properties>
</file>