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邵阳市大祥区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火车南站街道办事处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部门绩效评价报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告</w:t>
      </w:r>
    </w:p>
    <w:p>
      <w:pPr>
        <w:widowControl/>
        <w:spacing w:line="600" w:lineRule="exact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大祥区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火车南站街道办事处部门概况</w:t>
      </w:r>
    </w:p>
    <w:p>
      <w:pPr>
        <w:widowControl/>
        <w:spacing w:line="600" w:lineRule="exact"/>
        <w:jc w:val="both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（一）部门职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责</w:t>
      </w:r>
    </w:p>
    <w:p>
      <w:pPr>
        <w:shd w:val="clear" w:color="auto" w:fill="FFFFFF"/>
        <w:spacing w:line="76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邵阳市大祥区火车南站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是大祥区政府的派出机构，受区政府直接领导，行使区政府赋予的权力，负责辖区内经济建设、城市管理、计划生育、社区服务、基层党建、精神文明建设、社会救济保障、综合维稳等行政管理工作。</w:t>
      </w:r>
    </w:p>
    <w:p>
      <w:pPr>
        <w:shd w:val="clear" w:color="auto" w:fill="FFFFFF"/>
        <w:spacing w:line="760" w:lineRule="atLeast"/>
        <w:ind w:firstLine="4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主要职责为：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）、宣传、贯彻、执行和落实党在城市的各项方针政策和国家的法律法规，维护城市基本经济制和社会稳定和谐发展。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拟定区域内经济社会和产业发展规划；推进市场经济系建设，着力营造良好的发展环境，提供示范引导和政策服务；指导经济结构调整和推进经济增长方式转变，形成地域产业特色；加强市场信息服务，促进居民增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编制街道社区各项社会事业发展规划；发展教育、体育、科技、文化卫生、生态环境等城镇各项社会公益事业，为居民提供政策、科技、就业技能、劳务输出培训等服务；落实惠民措施，着力解决群众生产生活的突出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加强社会管理和公共服务职能，推进依法行政，严格依法履行职责；拓宽服务渠道，改进服务方式，通过“一站式”服务、办事代理制等多种形式，方便群众办事；处理来信来访，维护社会稳定；综合发挥人民调解、行政调解和司法调解的作用，维护社会主义公平公正，保障居民、法人和外来务工人员合法权益；扶助残疾人、孤寡老人、五保户等弱势群体；推进城市精神文明建设；收集上报辖区的社情民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加强基层组织建设和政权建设，巩固党在城市的执政基础；抓好民主集中制建设，扩大城市基层民主；推进社区事务、财务公开；推动社区建设，促进社会组织健康发展，增强社会自治功能，建设社会主义和谐新社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）、配合财政部门管理使用好下拨的行政事业性经费，监督管理使用好各类专项资金；努力做好城市管理、民政、教育、体育、卫生、街道社区规划建设、安全生产监督、人口和计划生育、环境保护等各项工作。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）、承担法律、法规、规章和上级规定的其他事项，办理好区委、区政府交办的其他工作。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机构设置及决算单位构成</w:t>
      </w:r>
    </w:p>
    <w:p>
      <w:pPr>
        <w:widowControl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内设机构设置。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邵阳市大祥区火车南站街道办事处内设机构包括：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街道共设置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个内设科室（党政综合办、基层党建办、经济发展办、城市管理办、公共服务办、公共安全办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、财政所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个直属事业单位（政务服务中心（党群服务中心）、文化综合服务中心、网格化综合服务中心、退役军人服务站、综合行政执法大队）；街道成立之初辖九十亭、铜铃、桔园、板铺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个社区，</w:t>
      </w:r>
      <w:r>
        <w:rPr>
          <w:rFonts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月，因大祥区行政区域调整，红星、祭旗社区划归火车南站街道管理。</w:t>
      </w:r>
    </w:p>
    <w:p>
      <w:pPr>
        <w:jc w:val="both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二、财务收支情况说明</w:t>
      </w:r>
    </w:p>
    <w:p>
      <w:pPr>
        <w:pStyle w:val="7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Ansi="黑体" w:cs="Times New Roman"/>
          <w:color w:val="auto"/>
          <w:sz w:val="32"/>
          <w:szCs w:val="32"/>
          <w:u w:val="none"/>
        </w:rPr>
        <w:t>收入决算情况说明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本年收入合计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2761.49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万元，其中：财政拨款收入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1666.7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60.36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%；上级补助收入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%；事业收入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%；经营收入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%；附属单位上缴收入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%；其他收入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1094.79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39.64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%。</w:t>
      </w:r>
    </w:p>
    <w:p>
      <w:pPr>
        <w:pStyle w:val="7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Ansi="黑体" w:cs="Times New Roman"/>
          <w:color w:val="auto"/>
          <w:sz w:val="32"/>
          <w:szCs w:val="32"/>
          <w:u w:val="none"/>
        </w:rPr>
        <w:t>、支出决算情况说明</w:t>
      </w:r>
    </w:p>
    <w:p>
      <w:pPr>
        <w:pStyle w:val="7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本年支出合计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2889.89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万元，其中：基本支出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2228.39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77.1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661.5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22.9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%；上缴上级支出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%；经营支出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%；对附属单位补助支出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%。</w:t>
      </w:r>
    </w:p>
    <w:p>
      <w:pPr>
        <w:pStyle w:val="7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收支结余情况说明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2020年，本单位年末结转和结余资金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437.64万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lang w:val="en-US"/>
        </w:rPr>
        <w:t>基本支出结转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437.64万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，项目结转0万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hint="eastAsia" w:hAnsi="黑体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4、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支出绩效情况</w:t>
      </w: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严格遵守各项财经纪律和财务管理制度，及时公开预决算，自觉接受财政和社会监督。加强财务管理，强化预算编制和执行，有效实施内部监督和控制，保证会计资料的真实性和完整性。实行“收支两条线”，确保财务收支平衡，加强财产物资管理，保障各项工作正常开展和目标任务完成。整体支出平稳，较好地实现社会效益和可持续效益目标。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pStyle w:val="7"/>
        <w:numPr>
          <w:ilvl w:val="0"/>
          <w:numId w:val="0"/>
        </w:numPr>
        <w:spacing w:line="600" w:lineRule="exact"/>
        <w:ind w:firstLine="640" w:firstLineChars="200"/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关于</w:t>
      </w: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2020</w:t>
      </w:r>
      <w:r>
        <w:rPr>
          <w:rFonts w:hAnsi="黑体" w:cs="Times New Roman"/>
          <w:color w:val="auto"/>
          <w:sz w:val="32"/>
          <w:szCs w:val="32"/>
          <w:u w:val="none"/>
        </w:rPr>
        <w:t>年度预算绩效情况说</w:t>
      </w:r>
      <w:r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  <w:t>明</w:t>
      </w:r>
    </w:p>
    <w:p>
      <w:pPr>
        <w:widowControl/>
        <w:shd w:val="clear" w:color="auto" w:fill="FFFFFF"/>
        <w:spacing w:beforeLines="50" w:afterLines="50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部门整体支出和项目支出实行绩效目标管理，纳入2020年部门整体支出绩效目标的金额</w:t>
      </w:r>
      <w:r>
        <w:rPr>
          <w:rFonts w:eastAsia="仿宋_GB2312" w:cs="仿宋_GB2312"/>
          <w:kern w:val="0"/>
          <w:sz w:val="32"/>
          <w:szCs w:val="32"/>
        </w:rPr>
        <w:t>1023.35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万元，其中，基本支出</w:t>
      </w:r>
      <w:r>
        <w:rPr>
          <w:rFonts w:eastAsia="仿宋_GB2312" w:cs="仿宋_GB2312"/>
          <w:kern w:val="0"/>
          <w:sz w:val="32"/>
          <w:szCs w:val="32"/>
        </w:rPr>
        <w:t>1023.35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万元，项目支出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万元。</w:t>
      </w:r>
    </w:p>
    <w:p>
      <w:pPr>
        <w:pStyle w:val="7"/>
        <w:numPr>
          <w:ilvl w:val="0"/>
          <w:numId w:val="0"/>
        </w:numPr>
        <w:spacing w:line="600" w:lineRule="exact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四、绩效完成情况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1、着力经济强街，在发展上实现新突破。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2、着力党建领航，在效能上确保新提升。落实党建工作责任制，狠抓“五化”建设，加强软弱涣散党组织整顿。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、着力作风建设，提升优质服务能力。加强作风建设，严明纪律要求。根据区委关于作风建设的相关要求，街道党工委制定完善了《火车南站街道干部作风建设管理办法》，成立街道作风建设督查组，每周由班子成员带队负责街道干部考勤和督查工作，定期进行通报，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sz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4、着力平安护街，在维稳上开创新局面。信访工作开创新局面。强化举措，源头化解信访矛盾。综治维稳开创新局面，扫黑除恶，</w:t>
      </w:r>
      <w:r>
        <w:rPr>
          <w:rFonts w:hint="eastAsia" w:ascii="仿宋_GB2312" w:hAnsi="仿宋_GB2312" w:eastAsia="仿宋_GB2312" w:cs="仿宋_GB2312"/>
          <w:sz w:val="32"/>
          <w:u w:val="none"/>
        </w:rPr>
        <w:t>治安整治，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平安创建，</w:t>
      </w:r>
      <w:r>
        <w:rPr>
          <w:rFonts w:hint="eastAsia" w:ascii="仿宋_GB2312" w:hAnsi="仿宋_GB2312" w:eastAsia="仿宋_GB2312" w:cs="仿宋_GB2312"/>
          <w:sz w:val="32"/>
          <w:u w:val="none"/>
        </w:rPr>
        <w:t>矛盾纠纷调处和化解，取得了重大的成果。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5、着力生态美街，在品质上得到新改善。</w:t>
      </w: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</w:rPr>
        <w:t>6、着力民生惠街，在服务上取得新成果。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着力加强社会救助体系建设，充分保障弱势群体基本生活。先后较高标准建成街道政务中心、劳动就业服务平台。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3" w:firstLineChars="200"/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  <w:shd w:val="clear" w:fill="FFFFFF"/>
        </w:rPr>
        <w:t>、评价结论及建议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（一）评价结论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综上所述，我单位在预算编制、预算执行、支出绩效方面，严格按照规定执行，合理安排支出，使财政资金发挥最大使用效益。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（二）存在问题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预算管理和财务管理有待加强，经费核算需进一步完善。在核算过程中部分支出难以区分支出范围，资金使用存在界限不清的现象。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（三）改进建议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1、细化预算编制工作，认真做好年初预算编制。进一步加强单位内部各股室的预算管理意识，严格按照预算编制的相关要求进行编制。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2、加强财务管理，严格财务审核。加强单位财务管理，健全单位财务管理制度体系，规范单位财务行为。在费用报销时，按照预算规定的项目和用途进行资金使用审核、支付及财务核算，预防超支现象的发生。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3、加强对相关人员培训，特别是针对《预算法》、《政府会计制度》等方面学习培训，规范部门预算收支核算，切实提高部门预算收支管理水平。</w:t>
      </w:r>
    </w:p>
    <w:p>
      <w:pPr>
        <w:pStyle w:val="7"/>
        <w:numPr>
          <w:ilvl w:val="0"/>
          <w:numId w:val="0"/>
        </w:numPr>
        <w:spacing w:line="600" w:lineRule="exact"/>
        <w:ind w:leftChars="4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pStyle w:val="7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4F2C"/>
    <w:rsid w:val="049B1DAB"/>
    <w:rsid w:val="073B7770"/>
    <w:rsid w:val="07B264E8"/>
    <w:rsid w:val="0E8317EF"/>
    <w:rsid w:val="0F535A31"/>
    <w:rsid w:val="15361BB8"/>
    <w:rsid w:val="155F4AA1"/>
    <w:rsid w:val="18462ABE"/>
    <w:rsid w:val="18A904EC"/>
    <w:rsid w:val="18B34D43"/>
    <w:rsid w:val="18D63FDF"/>
    <w:rsid w:val="197B5CE1"/>
    <w:rsid w:val="1D027955"/>
    <w:rsid w:val="220F01D5"/>
    <w:rsid w:val="227D69A7"/>
    <w:rsid w:val="23FE56F3"/>
    <w:rsid w:val="2629139A"/>
    <w:rsid w:val="2C630126"/>
    <w:rsid w:val="2DD106FE"/>
    <w:rsid w:val="2EB841E3"/>
    <w:rsid w:val="321E264C"/>
    <w:rsid w:val="33E067D2"/>
    <w:rsid w:val="39992CD2"/>
    <w:rsid w:val="3D8D2D62"/>
    <w:rsid w:val="421E713B"/>
    <w:rsid w:val="4D970A96"/>
    <w:rsid w:val="4FB57455"/>
    <w:rsid w:val="51FB4BE0"/>
    <w:rsid w:val="52600143"/>
    <w:rsid w:val="56CF6441"/>
    <w:rsid w:val="58D816A4"/>
    <w:rsid w:val="5A765FA5"/>
    <w:rsid w:val="5B1F051B"/>
    <w:rsid w:val="5C985DE2"/>
    <w:rsid w:val="5E9D018F"/>
    <w:rsid w:val="61C934F9"/>
    <w:rsid w:val="64F718D5"/>
    <w:rsid w:val="666D7A6C"/>
    <w:rsid w:val="667843FE"/>
    <w:rsid w:val="669319E0"/>
    <w:rsid w:val="6DD74F2C"/>
    <w:rsid w:val="70806DD1"/>
    <w:rsid w:val="71271E48"/>
    <w:rsid w:val="74CC2343"/>
    <w:rsid w:val="761847AF"/>
    <w:rsid w:val="76C05E5D"/>
    <w:rsid w:val="77EC156E"/>
    <w:rsid w:val="78B917D2"/>
    <w:rsid w:val="7AA51542"/>
    <w:rsid w:val="7C5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2021-09-08T09:23:00Z</dcterms:created>
  <dc:creator>舍  得</dc:creator>
  <cp:lastModifiedBy>舍  得</cp:lastModifiedBy>
  <dcterms:modified xsi:type="dcterms:W3CDTF">2021-09-24T01:21:33Z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38A3963F4EC549D3BC8B711BDA7CF0FE</vt:lpwstr>
  </property>
</Properties>
</file>