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黑体" w:hAnsi="黑体" w:eastAsia="黑体" w:cs="黑体"/>
          <w:b/>
          <w:bCs/>
          <w:sz w:val="36"/>
          <w:szCs w:val="36"/>
        </w:rPr>
      </w:pPr>
    </w:p>
    <w:p>
      <w:pPr>
        <w:widowControl/>
        <w:spacing w:line="600" w:lineRule="exact"/>
        <w:jc w:val="center"/>
        <w:rPr>
          <w:rFonts w:hint="eastAsia" w:ascii="黑体" w:hAnsi="黑体" w:eastAsia="黑体" w:cs="黑体"/>
          <w:b/>
          <w:bCs/>
          <w:kern w:val="0"/>
          <w:sz w:val="36"/>
          <w:szCs w:val="36"/>
          <w:lang w:eastAsia="zh-CN"/>
        </w:rPr>
      </w:pPr>
      <w:r>
        <w:rPr>
          <w:rFonts w:hint="eastAsia" w:ascii="黑体" w:hAnsi="黑体" w:eastAsia="黑体" w:cs="黑体"/>
          <w:b/>
          <w:bCs/>
          <w:sz w:val="36"/>
          <w:szCs w:val="36"/>
        </w:rPr>
        <w:t>202</w:t>
      </w:r>
      <w:r>
        <w:rPr>
          <w:rFonts w:hint="eastAsia" w:ascii="黑体" w:hAnsi="黑体" w:eastAsia="黑体" w:cs="黑体"/>
          <w:b/>
          <w:bCs/>
          <w:sz w:val="36"/>
          <w:szCs w:val="36"/>
          <w:lang w:val="en-US" w:eastAsia="zh-CN"/>
        </w:rPr>
        <w:t>1</w:t>
      </w:r>
      <w:r>
        <w:rPr>
          <w:rFonts w:hint="eastAsia" w:ascii="黑体" w:hAnsi="黑体" w:eastAsia="黑体" w:cs="黑体"/>
          <w:b/>
          <w:bCs/>
          <w:sz w:val="36"/>
          <w:szCs w:val="36"/>
        </w:rPr>
        <w:t>年</w:t>
      </w:r>
      <w:r>
        <w:rPr>
          <w:rFonts w:hint="eastAsia" w:ascii="黑体" w:hAnsi="黑体" w:eastAsia="黑体" w:cs="黑体"/>
          <w:b/>
          <w:bCs/>
          <w:kern w:val="0"/>
          <w:sz w:val="36"/>
          <w:szCs w:val="36"/>
        </w:rPr>
        <w:t>邵阳市大祥区</w:t>
      </w:r>
      <w:r>
        <w:rPr>
          <w:rFonts w:hint="eastAsia" w:ascii="黑体" w:hAnsi="黑体" w:eastAsia="黑体" w:cs="黑体"/>
          <w:b/>
          <w:bCs/>
          <w:kern w:val="0"/>
          <w:sz w:val="36"/>
          <w:szCs w:val="36"/>
          <w:lang w:eastAsia="zh-CN"/>
        </w:rPr>
        <w:t>火车南站街道办事处</w:t>
      </w:r>
    </w:p>
    <w:p>
      <w:pPr>
        <w:widowControl/>
        <w:spacing w:line="60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rPr>
        <w:t>部门绩效评价报</w:t>
      </w:r>
      <w:r>
        <w:rPr>
          <w:rFonts w:hint="eastAsia" w:ascii="黑体" w:hAnsi="黑体" w:eastAsia="黑体" w:cs="黑体"/>
          <w:b/>
          <w:bCs/>
          <w:sz w:val="36"/>
          <w:szCs w:val="36"/>
          <w:lang w:eastAsia="zh-CN"/>
        </w:rPr>
        <w:t>告</w:t>
      </w:r>
    </w:p>
    <w:p>
      <w:pPr>
        <w:widowControl/>
        <w:spacing w:line="600" w:lineRule="exact"/>
        <w:jc w:val="both"/>
        <w:rPr>
          <w:rFonts w:hint="eastAsia" w:ascii="黑体" w:hAnsi="黑体" w:eastAsia="黑体" w:cs="黑体"/>
          <w:b/>
          <w:bCs/>
          <w:sz w:val="36"/>
          <w:szCs w:val="36"/>
        </w:rPr>
      </w:pPr>
    </w:p>
    <w:p>
      <w:pPr>
        <w:widowControl/>
        <w:spacing w:line="600" w:lineRule="exact"/>
        <w:jc w:val="both"/>
        <w:rPr>
          <w:rFonts w:hint="eastAsia" w:eastAsia="方正小标宋_GBK"/>
          <w:bCs/>
          <w:kern w:val="0"/>
          <w:sz w:val="36"/>
          <w:szCs w:val="36"/>
        </w:rPr>
      </w:pPr>
      <w:r>
        <w:rPr>
          <w:rFonts w:hint="eastAsia" w:eastAsia="方正小标宋_GBK"/>
          <w:bCs/>
          <w:kern w:val="0"/>
          <w:sz w:val="36"/>
          <w:szCs w:val="36"/>
          <w:lang w:eastAsia="zh-CN"/>
        </w:rPr>
        <w:t>一、大祥区</w:t>
      </w:r>
      <w:r>
        <w:rPr>
          <w:rFonts w:hint="eastAsia" w:ascii="黑体" w:hAnsi="黑体" w:eastAsia="黑体" w:cs="黑体"/>
          <w:bCs/>
          <w:kern w:val="0"/>
          <w:sz w:val="32"/>
          <w:szCs w:val="32"/>
          <w:lang w:eastAsia="zh-CN"/>
        </w:rPr>
        <w:t>火车南站街道办事处</w:t>
      </w:r>
      <w:r>
        <w:rPr>
          <w:rFonts w:hint="eastAsia" w:ascii="黑体" w:hAnsi="黑体" w:eastAsia="黑体" w:cs="黑体"/>
          <w:bCs/>
          <w:kern w:val="0"/>
          <w:sz w:val="32"/>
          <w:szCs w:val="32"/>
        </w:rPr>
        <w:t>部门概况</w:t>
      </w:r>
    </w:p>
    <w:p>
      <w:pPr>
        <w:widowControl/>
        <w:numPr>
          <w:ilvl w:val="0"/>
          <w:numId w:val="0"/>
        </w:numPr>
        <w:spacing w:line="600" w:lineRule="exact"/>
        <w:rPr>
          <w:rFonts w:hint="eastAsia" w:ascii="黑体" w:hAnsi="黑体" w:eastAsia="黑体"/>
          <w:bCs/>
          <w:kern w:val="0"/>
          <w:sz w:val="32"/>
          <w:szCs w:val="32"/>
        </w:rPr>
      </w:pPr>
      <w:r>
        <w:rPr>
          <w:rFonts w:hint="eastAsia" w:ascii="黑体" w:hAnsi="黑体" w:eastAsia="黑体"/>
          <w:bCs/>
          <w:kern w:val="0"/>
          <w:sz w:val="32"/>
          <w:szCs w:val="32"/>
          <w:lang w:eastAsia="zh-CN"/>
        </w:rPr>
        <w:t>（一）</w:t>
      </w:r>
      <w:r>
        <w:rPr>
          <w:rFonts w:hint="eastAsia" w:ascii="黑体" w:hAnsi="黑体" w:eastAsia="黑体"/>
          <w:bCs/>
          <w:kern w:val="0"/>
          <w:sz w:val="32"/>
          <w:szCs w:val="32"/>
        </w:rPr>
        <w:t>部门职责</w:t>
      </w:r>
    </w:p>
    <w:p>
      <w:pPr>
        <w:shd w:val="clear" w:color="auto" w:fill="FFFFFF"/>
        <w:spacing w:line="760" w:lineRule="atLeast"/>
        <w:ind w:firstLine="640" w:firstLineChars="200"/>
        <w:rPr>
          <w:rFonts w:hint="eastAsia" w:asciiTheme="minorEastAsia" w:hAnsiTheme="minorEastAsia" w:eastAsiaTheme="minorEastAsia" w:cstheme="minorEastAsia"/>
          <w:bCs/>
          <w:sz w:val="32"/>
          <w:szCs w:val="32"/>
          <w:shd w:val="clear" w:color="auto" w:fill="FFFFFF"/>
        </w:rPr>
      </w:pPr>
      <w:r>
        <w:rPr>
          <w:rFonts w:hint="eastAsia" w:asciiTheme="minorEastAsia" w:hAnsiTheme="minorEastAsia" w:eastAsiaTheme="minorEastAsia" w:cstheme="minorEastAsia"/>
          <w:bCs/>
          <w:kern w:val="0"/>
          <w:sz w:val="32"/>
          <w:szCs w:val="32"/>
        </w:rPr>
        <w:t>邵阳市大祥区火车南站街道办事处</w:t>
      </w:r>
      <w:r>
        <w:rPr>
          <w:rFonts w:hint="eastAsia" w:asciiTheme="minorEastAsia" w:hAnsiTheme="minorEastAsia" w:eastAsiaTheme="minorEastAsia" w:cstheme="minorEastAsia"/>
          <w:bCs/>
          <w:sz w:val="32"/>
          <w:szCs w:val="32"/>
          <w:shd w:val="clear" w:color="auto" w:fill="FFFFFF"/>
        </w:rPr>
        <w:t>是大祥区政府的派出机构，受区政府直接领导，行使区政府赋予的权力，负责辖区内经济建设、城市管理、计划生育、社区服务、基层党建、精神文明建设、社会救济保障、综合维稳等行政管理工作。</w:t>
      </w:r>
    </w:p>
    <w:p>
      <w:pPr>
        <w:shd w:val="clear" w:color="auto" w:fill="FFFFFF"/>
        <w:spacing w:line="760" w:lineRule="atLeast"/>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主要职责为：</w:t>
      </w:r>
    </w:p>
    <w:p>
      <w:pPr>
        <w:rPr>
          <w:rFonts w:hint="eastAsia" w:asciiTheme="minorEastAsia" w:hAnsiTheme="minorEastAsia" w:eastAsiaTheme="minorEastAsia" w:cstheme="minorEastAsia"/>
        </w:rPr>
      </w:pPr>
    </w:p>
    <w:p>
      <w:p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（1）、宣传、贯彻、执行和落实党在城市的各项方针政策和国家的法律法规，维护城市基本经济制和社会稳定和谐发展。</w:t>
      </w:r>
    </w:p>
    <w:p>
      <w:p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拟定区域内经济社会和产业发展规划；推进市场经济系建设，着力营造良好的发展环境，提供示范引导和政策服务；指导经济结构调整和推进经济增长方式转变，形成地域产业特色；加强市场信息服务，促进居民增收。</w:t>
      </w:r>
    </w:p>
    <w:p>
      <w:p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3）、编制街道社区各项社会事业发展规划；发展教育、体育、科技、文化卫生、生态环境等城镇各项社会公益事业，为居民提供政策、科技、就业技能、劳务输出培训等服务；落实惠民措施，着力解决群众生产生活的突出问题。</w:t>
      </w:r>
    </w:p>
    <w:p>
      <w:p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4）、加强社会管理和公共服务职能，推进依法行政，严格依法履行职责；拓宽服务渠道，改进服务方式，通过“一站式”服务、办事代理制等多种形式，方便群众办事；处理来信来访，维护社会稳定；综合发挥人民调解、行政调解和司法调解的作用，维护社会主义公平公正，保障居民、法人和外来务工人员合法权益；扶助残疾人、孤寡老人、五保户等弱势群体；推进城市精神文明建设；收集上报辖区的社情民意。</w:t>
      </w:r>
    </w:p>
    <w:p>
      <w:p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5）、加强基层组织建设和政权建设，巩固党在城市的执政基础；抓好民主集中制建设，扩大城市基层民主；推进社区事务、财务公开；推动社区建设，促进社会组织健康发展，增强社会自治功能，建设社会主义和谐新社会。</w:t>
      </w:r>
    </w:p>
    <w:p>
      <w:p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6）、配合财政部门管理使用好下拨的行政事业性经费，监督管理使用好各类专项资金；努力做好城市管理、民政、教育、体育、卫生、街道社区规划建设、安全生产监督、人口和计划生育、环境保护等各项工作。</w:t>
      </w:r>
    </w:p>
    <w:p>
      <w:p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（7）、承担法律、法规、规章和上级规定的其他事项，办理好区委、区政府交办的其他工作。</w:t>
      </w:r>
    </w:p>
    <w:p>
      <w:pPr>
        <w:widowControl/>
        <w:spacing w:line="600" w:lineRule="exact"/>
        <w:ind w:firstLine="640" w:firstLineChars="200"/>
        <w:rPr>
          <w:rFonts w:hint="eastAsia" w:ascii="黑体" w:hAnsi="黑体" w:eastAsia="黑体"/>
          <w:bCs/>
          <w:kern w:val="0"/>
          <w:sz w:val="32"/>
          <w:szCs w:val="32"/>
        </w:rPr>
      </w:pPr>
      <w:r>
        <w:rPr>
          <w:rFonts w:hint="eastAsia" w:ascii="黑体" w:hAnsi="黑体" w:eastAsia="黑体"/>
          <w:bCs/>
          <w:kern w:val="0"/>
          <w:sz w:val="32"/>
          <w:szCs w:val="32"/>
          <w:lang w:eastAsia="zh-CN"/>
        </w:rPr>
        <w:t>（二）</w:t>
      </w:r>
      <w:r>
        <w:rPr>
          <w:rFonts w:hint="eastAsia" w:ascii="黑体" w:hAnsi="黑体" w:eastAsia="黑体"/>
          <w:bCs/>
          <w:kern w:val="0"/>
          <w:sz w:val="32"/>
          <w:szCs w:val="32"/>
        </w:rPr>
        <w:t>机构设置及决算单位构成</w:t>
      </w:r>
    </w:p>
    <w:p>
      <w:pPr>
        <w:widowControl/>
        <w:spacing w:line="60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lang w:val="en-US" w:eastAsia="zh-CN"/>
        </w:rPr>
        <w:t>1、</w:t>
      </w:r>
      <w:r>
        <w:rPr>
          <w:rFonts w:hint="eastAsia" w:asciiTheme="minorEastAsia" w:hAnsiTheme="minorEastAsia" w:eastAsiaTheme="minorEastAsia" w:cstheme="minorEastAsia"/>
          <w:b/>
          <w:bCs/>
          <w:kern w:val="0"/>
          <w:sz w:val="32"/>
          <w:szCs w:val="32"/>
        </w:rPr>
        <w:t>内设机构设置。</w:t>
      </w:r>
      <w:r>
        <w:rPr>
          <w:rFonts w:hint="eastAsia" w:asciiTheme="minorEastAsia" w:hAnsiTheme="minorEastAsia" w:eastAsiaTheme="minorEastAsia" w:cstheme="minorEastAsia"/>
          <w:bCs/>
          <w:kern w:val="0"/>
          <w:sz w:val="32"/>
          <w:szCs w:val="32"/>
        </w:rPr>
        <w:t>邵阳市大祥区火车南站街道办事处内设机构包括：</w:t>
      </w:r>
      <w:r>
        <w:rPr>
          <w:rFonts w:hint="eastAsia" w:asciiTheme="minorEastAsia" w:hAnsiTheme="minorEastAsia" w:eastAsiaTheme="minorEastAsia" w:cstheme="minorEastAsia"/>
          <w:sz w:val="32"/>
          <w:szCs w:val="32"/>
        </w:rPr>
        <w:t>街道共设置</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个内设科室（党政综合办、基层党建办、经济发展办、城市管理办、公共服务办、公共安全办</w:t>
      </w:r>
      <w:r>
        <w:rPr>
          <w:rFonts w:hint="eastAsia" w:asciiTheme="minorEastAsia" w:hAnsiTheme="minorEastAsia" w:eastAsiaTheme="minorEastAsia" w:cstheme="minorEastAsia"/>
          <w:sz w:val="32"/>
          <w:szCs w:val="32"/>
          <w:lang w:eastAsia="zh-CN"/>
        </w:rPr>
        <w:t>、财政所</w:t>
      </w:r>
      <w:r>
        <w:rPr>
          <w:rFonts w:hint="eastAsia" w:asciiTheme="minorEastAsia" w:hAnsiTheme="minorEastAsia" w:eastAsiaTheme="minorEastAsia" w:cstheme="minorEastAsia"/>
          <w:sz w:val="32"/>
          <w:szCs w:val="32"/>
        </w:rPr>
        <w:t>）及5个直属事业单位（政务服务中心（党群服务中心）、文化综合服务中心、网格化综合服务中心、退役军人服务站、综合行政执法大队）；街道成立之初辖九十亭、铜铃、桔园、板铺4个社区，2016年7月，因大祥区行政区域调整，红星、祭旗社区划归火车南站街道管理。</w:t>
      </w:r>
    </w:p>
    <w:p>
      <w:pPr>
        <w:jc w:val="both"/>
        <w:rPr>
          <w:rFonts w:hint="eastAsia" w:ascii="黑体" w:hAnsi="黑体" w:eastAsia="黑体"/>
          <w:sz w:val="32"/>
          <w:szCs w:val="32"/>
          <w:lang w:eastAsia="zh-CN"/>
        </w:rPr>
      </w:pPr>
      <w:r>
        <w:rPr>
          <w:rFonts w:hint="eastAsia" w:ascii="黑体" w:hAnsi="黑体" w:eastAsia="黑体"/>
          <w:sz w:val="32"/>
          <w:szCs w:val="32"/>
          <w:lang w:eastAsia="zh-CN"/>
        </w:rPr>
        <w:t>二、财务收支情况说明</w:t>
      </w:r>
    </w:p>
    <w:p>
      <w:pPr>
        <w:pStyle w:val="9"/>
        <w:spacing w:line="600" w:lineRule="exact"/>
        <w:ind w:firstLine="640" w:firstLineChars="200"/>
        <w:rPr>
          <w:rFonts w:hAnsi="黑体" w:cs="Times New Roman"/>
          <w:color w:val="auto"/>
          <w:sz w:val="32"/>
          <w:szCs w:val="32"/>
          <w:u w:val="none"/>
        </w:rPr>
      </w:pPr>
      <w:r>
        <w:rPr>
          <w:rFonts w:hint="eastAsia" w:hAnsi="黑体" w:cs="Times New Roman"/>
          <w:color w:val="auto"/>
          <w:sz w:val="32"/>
          <w:szCs w:val="32"/>
          <w:u w:val="none"/>
          <w:lang w:val="en-US" w:eastAsia="zh-CN"/>
        </w:rPr>
        <w:t>1、</w:t>
      </w:r>
      <w:r>
        <w:rPr>
          <w:rFonts w:hAnsi="黑体" w:cs="Times New Roman"/>
          <w:color w:val="auto"/>
          <w:sz w:val="32"/>
          <w:szCs w:val="32"/>
          <w:u w:val="none"/>
        </w:rPr>
        <w:t>收入决算情况说明</w:t>
      </w:r>
    </w:p>
    <w:p>
      <w:pPr>
        <w:pStyle w:val="9"/>
        <w:spacing w:line="600" w:lineRule="exact"/>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2021年度收入合计1619.26万元，其中：财政拨款收入119</w:t>
      </w:r>
      <w:r>
        <w:rPr>
          <w:rFonts w:hint="eastAsia" w:asciiTheme="minorEastAsia" w:hAnsiTheme="minorEastAsia" w:eastAsiaTheme="minorEastAsia"/>
          <w:sz w:val="32"/>
          <w:szCs w:val="32"/>
          <w:lang w:val="en-US" w:eastAsia="zh-CN"/>
        </w:rPr>
        <w:t>1.85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73.6</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427.41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26.4</w:t>
      </w:r>
      <w:r>
        <w:rPr>
          <w:rFonts w:hint="eastAsia" w:asciiTheme="minorEastAsia" w:hAnsiTheme="minorEastAsia" w:eastAsiaTheme="minorEastAsia"/>
          <w:sz w:val="32"/>
          <w:szCs w:val="32"/>
        </w:rPr>
        <w:t>%。</w:t>
      </w:r>
    </w:p>
    <w:p>
      <w:pPr>
        <w:pStyle w:val="9"/>
        <w:spacing w:line="600" w:lineRule="exact"/>
        <w:ind w:firstLine="640" w:firstLineChars="200"/>
        <w:rPr>
          <w:rFonts w:hAnsi="黑体" w:cs="Times New Roman"/>
          <w:color w:val="auto"/>
          <w:sz w:val="32"/>
          <w:szCs w:val="32"/>
          <w:u w:val="none"/>
        </w:rPr>
      </w:pPr>
      <w:r>
        <w:rPr>
          <w:rFonts w:hint="eastAsia" w:hAnsi="黑体" w:cs="Times New Roman"/>
          <w:color w:val="auto"/>
          <w:sz w:val="32"/>
          <w:szCs w:val="32"/>
          <w:u w:val="none"/>
          <w:lang w:val="en-US" w:eastAsia="zh-CN"/>
        </w:rPr>
        <w:t>2</w:t>
      </w:r>
      <w:r>
        <w:rPr>
          <w:rFonts w:hAnsi="黑体" w:cs="Times New Roman"/>
          <w:color w:val="auto"/>
          <w:sz w:val="32"/>
          <w:szCs w:val="32"/>
          <w:u w:val="none"/>
        </w:rPr>
        <w:t>、支出决算情况说明</w:t>
      </w:r>
    </w:p>
    <w:p>
      <w:pPr>
        <w:pStyle w:val="9"/>
        <w:spacing w:line="600" w:lineRule="exact"/>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2056.9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1991.63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96.83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65.27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3.17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spacing w:line="600" w:lineRule="exact"/>
        <w:ind w:firstLine="640" w:firstLineChars="200"/>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3、</w:t>
      </w:r>
      <w:r>
        <w:rPr>
          <w:rFonts w:hint="eastAsia" w:ascii="黑体" w:hAnsi="黑体" w:eastAsia="黑体" w:cs="黑体"/>
          <w:color w:val="auto"/>
          <w:sz w:val="32"/>
          <w:szCs w:val="32"/>
          <w:u w:val="none"/>
          <w:lang w:eastAsia="zh-CN"/>
        </w:rPr>
        <w:t>收支结余情况说明</w:t>
      </w:r>
    </w:p>
    <w:p>
      <w:pPr>
        <w:pStyle w:val="9"/>
        <w:numPr>
          <w:ilvl w:val="0"/>
          <w:numId w:val="0"/>
        </w:numPr>
        <w:spacing w:line="600" w:lineRule="exact"/>
        <w:ind w:leftChars="200"/>
        <w:rPr>
          <w:rFonts w:hint="eastAsia" w:asciiTheme="minorEastAsia" w:hAnsiTheme="minorEastAsia" w:eastAsiaTheme="minorEastAsia" w:cstheme="minorEastAsia"/>
          <w:sz w:val="32"/>
          <w:lang w:val="en-US" w:eastAsia="zh-CN"/>
        </w:rPr>
      </w:pPr>
      <w:r>
        <w:rPr>
          <w:rFonts w:hint="eastAsia" w:asciiTheme="minorEastAsia" w:hAnsiTheme="minorEastAsia" w:eastAsiaTheme="minorEastAsia" w:cstheme="minorEastAsia"/>
          <w:sz w:val="32"/>
          <w:lang w:val="en-US"/>
        </w:rPr>
        <w:t>202</w:t>
      </w:r>
      <w:r>
        <w:rPr>
          <w:rFonts w:hint="eastAsia" w:asciiTheme="minorEastAsia" w:hAnsiTheme="minorEastAsia" w:eastAsiaTheme="minorEastAsia" w:cstheme="minorEastAsia"/>
          <w:sz w:val="32"/>
          <w:lang w:val="en-US" w:eastAsia="zh-CN"/>
        </w:rPr>
        <w:t>1</w:t>
      </w:r>
      <w:r>
        <w:rPr>
          <w:rFonts w:hint="eastAsia" w:asciiTheme="minorEastAsia" w:hAnsiTheme="minorEastAsia" w:eastAsiaTheme="minorEastAsia" w:cstheme="minorEastAsia"/>
          <w:sz w:val="32"/>
          <w:lang w:val="en-US"/>
        </w:rPr>
        <w:t>年，本单位年末结转和结余资金</w:t>
      </w:r>
      <w:r>
        <w:rPr>
          <w:rFonts w:hint="eastAsia" w:asciiTheme="minorEastAsia" w:hAnsiTheme="minorEastAsia" w:eastAsiaTheme="minorEastAsia" w:cstheme="minorEastAsia"/>
          <w:sz w:val="32"/>
          <w:lang w:val="en-US" w:eastAsia="zh-CN"/>
        </w:rPr>
        <w:t>0万</w:t>
      </w:r>
      <w:r>
        <w:rPr>
          <w:rFonts w:hint="eastAsia" w:asciiTheme="minorEastAsia" w:hAnsiTheme="minorEastAsia" w:eastAsiaTheme="minorEastAsia" w:cstheme="minorEastAsia"/>
          <w:sz w:val="32"/>
          <w:lang w:val="en-US"/>
        </w:rPr>
        <w:t>元，</w:t>
      </w:r>
      <w:r>
        <w:rPr>
          <w:rFonts w:hint="eastAsia" w:asciiTheme="minorEastAsia" w:hAnsiTheme="minorEastAsia" w:eastAsiaTheme="minorEastAsia" w:cstheme="minorEastAsia"/>
          <w:sz w:val="32"/>
          <w:lang w:val="en-US" w:eastAsia="zh-CN"/>
        </w:rPr>
        <w:t>其中：</w:t>
      </w:r>
      <w:r>
        <w:rPr>
          <w:rFonts w:hint="eastAsia" w:asciiTheme="minorEastAsia" w:hAnsiTheme="minorEastAsia" w:eastAsiaTheme="minorEastAsia" w:cstheme="minorEastAsia"/>
          <w:sz w:val="32"/>
          <w:lang w:val="en-US"/>
        </w:rPr>
        <w:t>基本支出结转</w:t>
      </w:r>
      <w:r>
        <w:rPr>
          <w:rFonts w:hint="eastAsia" w:asciiTheme="minorEastAsia" w:hAnsiTheme="minorEastAsia" w:eastAsiaTheme="minorEastAsia" w:cstheme="minorEastAsia"/>
          <w:sz w:val="32"/>
          <w:lang w:val="en-US" w:eastAsia="zh-CN"/>
        </w:rPr>
        <w:t>0</w:t>
      </w:r>
      <w:r>
        <w:rPr>
          <w:rFonts w:hint="eastAsia" w:asciiTheme="minorEastAsia" w:hAnsiTheme="minorEastAsia" w:eastAsiaTheme="minorEastAsia" w:cstheme="minorEastAsia"/>
          <w:sz w:val="32"/>
          <w:lang w:val="en-US"/>
        </w:rPr>
        <w:t>元</w:t>
      </w:r>
      <w:r>
        <w:rPr>
          <w:rFonts w:hint="eastAsia" w:asciiTheme="minorEastAsia" w:hAnsiTheme="minorEastAsia" w:eastAsiaTheme="minorEastAsia" w:cstheme="minorEastAsia"/>
          <w:sz w:val="32"/>
          <w:lang w:val="en-US" w:eastAsia="zh-CN"/>
        </w:rPr>
        <w:t>，项目结转0万</w:t>
      </w:r>
      <w:r>
        <w:rPr>
          <w:rFonts w:hint="eastAsia" w:asciiTheme="minorEastAsia" w:hAnsiTheme="minorEastAsia" w:eastAsiaTheme="minorEastAsia" w:cstheme="minorEastAsia"/>
          <w:sz w:val="32"/>
          <w:lang w:val="en-US"/>
        </w:rPr>
        <w:t>元</w:t>
      </w:r>
      <w:r>
        <w:rPr>
          <w:rFonts w:hint="eastAsia" w:asciiTheme="minorEastAsia" w:hAnsiTheme="minorEastAsia" w:eastAsiaTheme="minorEastAsia" w:cstheme="minorEastAsia"/>
          <w:sz w:val="32"/>
          <w:lang w:val="en-US" w:eastAsia="zh-CN"/>
        </w:rPr>
        <w:t>。</w:t>
      </w:r>
    </w:p>
    <w:p>
      <w:pPr>
        <w:pStyle w:val="9"/>
        <w:numPr>
          <w:ilvl w:val="0"/>
          <w:numId w:val="0"/>
        </w:numPr>
        <w:spacing w:line="600" w:lineRule="exact"/>
        <w:ind w:firstLine="640" w:firstLineChars="200"/>
        <w:rPr>
          <w:rFonts w:hint="eastAsia" w:hAnsi="黑体" w:cs="Times New Roman"/>
          <w:color w:val="auto"/>
          <w:sz w:val="32"/>
          <w:szCs w:val="32"/>
          <w:lang w:eastAsia="zh-CN"/>
        </w:rPr>
      </w:pPr>
      <w:r>
        <w:rPr>
          <w:rFonts w:hint="eastAsia" w:ascii="仿宋_GB2312" w:hAnsi="仿宋_GB2312" w:eastAsia="仿宋_GB2312" w:cs="仿宋_GB2312"/>
          <w:sz w:val="32"/>
          <w:lang w:val="en-US" w:eastAsia="zh-CN"/>
        </w:rPr>
        <w:t>4、</w:t>
      </w:r>
      <w:r>
        <w:rPr>
          <w:rFonts w:hint="eastAsia" w:ascii="黑体" w:hAnsi="黑体" w:eastAsia="黑体" w:cs="黑体"/>
          <w:b/>
          <w:bCs/>
          <w:i w:val="0"/>
          <w:caps w:val="0"/>
          <w:color w:val="auto"/>
          <w:spacing w:val="0"/>
          <w:sz w:val="32"/>
          <w:szCs w:val="32"/>
          <w:shd w:val="clear" w:fill="FFFFFF"/>
        </w:rPr>
        <w:t>支出绩效情况</w:t>
      </w:r>
    </w:p>
    <w:p>
      <w:pPr>
        <w:pStyle w:val="9"/>
        <w:numPr>
          <w:ilvl w:val="0"/>
          <w:numId w:val="0"/>
        </w:numPr>
        <w:spacing w:line="600" w:lineRule="exact"/>
        <w:ind w:firstLine="640" w:firstLineChars="200"/>
        <w:rPr>
          <w:rFonts w:hint="eastAsia" w:asciiTheme="minorEastAsia" w:hAnsiTheme="minorEastAsia" w:eastAsiaTheme="minorEastAsia" w:cstheme="minorEastAsia"/>
          <w:b w:val="0"/>
          <w:i w:val="0"/>
          <w:caps w:val="0"/>
          <w:color w:val="auto"/>
          <w:spacing w:val="0"/>
          <w:sz w:val="32"/>
          <w:szCs w:val="32"/>
          <w:shd w:val="clear" w:color="auto" w:fill="FFFFFF"/>
          <w:lang w:val="en-US" w:eastAsia="zh-CN"/>
        </w:rPr>
      </w:pPr>
      <w:r>
        <w:rPr>
          <w:rFonts w:hint="eastAsia" w:asciiTheme="minorEastAsia" w:hAnsiTheme="minorEastAsia" w:eastAsiaTheme="minorEastAsia" w:cstheme="minorEastAsia"/>
          <w:b w:val="0"/>
          <w:i w:val="0"/>
          <w:caps w:val="0"/>
          <w:color w:val="auto"/>
          <w:spacing w:val="0"/>
          <w:sz w:val="32"/>
          <w:szCs w:val="32"/>
          <w:shd w:val="clear" w:fill="FFFFFF"/>
        </w:rPr>
        <w:t>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益目标。</w:t>
      </w:r>
    </w:p>
    <w:p>
      <w:pPr>
        <w:pStyle w:val="9"/>
        <w:numPr>
          <w:ilvl w:val="0"/>
          <w:numId w:val="0"/>
        </w:numPr>
        <w:spacing w:line="600" w:lineRule="exact"/>
        <w:ind w:leftChars="200"/>
        <w:rPr>
          <w:rFonts w:hint="eastAsia" w:ascii="仿宋" w:hAnsi="仿宋" w:eastAsia="仿宋" w:cs="仿宋"/>
          <w:sz w:val="32"/>
          <w:lang w:val="en-US" w:eastAsia="zh-CN"/>
        </w:rPr>
      </w:pPr>
    </w:p>
    <w:p>
      <w:pPr>
        <w:pStyle w:val="9"/>
        <w:numPr>
          <w:ilvl w:val="0"/>
          <w:numId w:val="0"/>
        </w:numPr>
        <w:spacing w:line="600" w:lineRule="exact"/>
        <w:ind w:firstLine="640" w:firstLineChars="200"/>
        <w:rPr>
          <w:rFonts w:hint="eastAsia" w:hAnsi="黑体" w:cs="Times New Roman"/>
          <w:color w:val="auto"/>
          <w:sz w:val="32"/>
          <w:szCs w:val="32"/>
          <w:u w:val="none"/>
          <w:lang w:eastAsia="zh-CN"/>
        </w:rPr>
      </w:pPr>
      <w:r>
        <w:rPr>
          <w:rFonts w:hint="eastAsia" w:hAnsi="黑体" w:cs="Times New Roman"/>
          <w:color w:val="auto"/>
          <w:sz w:val="32"/>
          <w:szCs w:val="32"/>
          <w:u w:val="none"/>
          <w:lang w:eastAsia="zh-CN"/>
        </w:rPr>
        <w:t>三、</w:t>
      </w:r>
      <w:r>
        <w:rPr>
          <w:rFonts w:hAnsi="黑体" w:cs="Times New Roman"/>
          <w:color w:val="auto"/>
          <w:sz w:val="32"/>
          <w:szCs w:val="32"/>
          <w:u w:val="none"/>
        </w:rPr>
        <w:t>关于</w:t>
      </w:r>
      <w:r>
        <w:rPr>
          <w:rFonts w:hint="eastAsia" w:hAnsi="黑体" w:cs="Times New Roman"/>
          <w:color w:val="auto"/>
          <w:sz w:val="32"/>
          <w:szCs w:val="32"/>
          <w:u w:val="none"/>
          <w:lang w:val="en-US" w:eastAsia="zh-CN"/>
        </w:rPr>
        <w:t>2021</w:t>
      </w:r>
      <w:r>
        <w:rPr>
          <w:rFonts w:hAnsi="黑体" w:cs="Times New Roman"/>
          <w:color w:val="auto"/>
          <w:sz w:val="32"/>
          <w:szCs w:val="32"/>
          <w:u w:val="none"/>
        </w:rPr>
        <w:t>年度预算绩效情况说</w:t>
      </w:r>
      <w:r>
        <w:rPr>
          <w:rFonts w:hint="eastAsia" w:hAnsi="黑体" w:cs="Times New Roman"/>
          <w:color w:val="auto"/>
          <w:sz w:val="32"/>
          <w:szCs w:val="32"/>
          <w:u w:val="none"/>
          <w:lang w:eastAsia="zh-CN"/>
        </w:rPr>
        <w:t>明</w:t>
      </w:r>
    </w:p>
    <w:p>
      <w:pPr>
        <w:widowControl/>
        <w:shd w:val="clear" w:color="auto" w:fill="FFFFFF"/>
        <w:spacing w:beforeLines="50" w:afterLines="50"/>
        <w:ind w:firstLine="640"/>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部门整体支出和项目支出实行绩效目标管理，纳入202</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年部门整体支出绩效目标的金额</w:t>
      </w:r>
      <w:r>
        <w:rPr>
          <w:rFonts w:hint="eastAsia" w:eastAsia="仿宋_GB2312" w:cs="仿宋_GB2312"/>
          <w:kern w:val="0"/>
          <w:sz w:val="32"/>
          <w:szCs w:val="32"/>
          <w:lang w:val="en-US" w:eastAsia="zh-CN"/>
        </w:rPr>
        <w:t>1109.98</w:t>
      </w:r>
      <w:r>
        <w:rPr>
          <w:rFonts w:hint="eastAsia" w:ascii="仿宋_GB2312" w:hAnsi="仿宋_GB2312" w:eastAsia="仿宋_GB2312" w:cs="仿宋_GB2312"/>
          <w:kern w:val="0"/>
          <w:sz w:val="32"/>
          <w:szCs w:val="32"/>
          <w:u w:val="none"/>
        </w:rPr>
        <w:t>万元，其中，基本支出</w:t>
      </w:r>
      <w:r>
        <w:rPr>
          <w:rFonts w:hint="eastAsia" w:eastAsia="仿宋_GB2312" w:cs="仿宋_GB2312"/>
          <w:kern w:val="0"/>
          <w:sz w:val="32"/>
          <w:szCs w:val="32"/>
          <w:lang w:val="en-US" w:eastAsia="zh-CN"/>
        </w:rPr>
        <w:t>1109.98</w:t>
      </w:r>
      <w:r>
        <w:rPr>
          <w:rFonts w:hint="eastAsia" w:ascii="仿宋_GB2312" w:hAnsi="仿宋_GB2312" w:eastAsia="仿宋_GB2312" w:cs="仿宋_GB2312"/>
          <w:kern w:val="0"/>
          <w:sz w:val="32"/>
          <w:szCs w:val="32"/>
          <w:u w:val="none"/>
        </w:rPr>
        <w:t>万元，项目支出</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kern w:val="0"/>
          <w:sz w:val="32"/>
          <w:szCs w:val="32"/>
          <w:u w:val="none"/>
        </w:rPr>
        <w:t>万元。</w:t>
      </w:r>
    </w:p>
    <w:p>
      <w:pPr>
        <w:pStyle w:val="9"/>
        <w:numPr>
          <w:ilvl w:val="0"/>
          <w:numId w:val="0"/>
        </w:numPr>
        <w:spacing w:line="600" w:lineRule="exact"/>
        <w:ind w:firstLine="640" w:firstLineChars="200"/>
        <w:rPr>
          <w:rFonts w:hint="eastAsia" w:ascii="黑体" w:hAnsi="黑体" w:eastAsia="黑体" w:cs="黑体"/>
          <w:b w:val="0"/>
          <w:i w:val="0"/>
          <w:caps w:val="0"/>
          <w:color w:val="auto"/>
          <w:spacing w:val="0"/>
          <w:sz w:val="32"/>
          <w:szCs w:val="32"/>
          <w:shd w:val="clear" w:color="auto" w:fill="FFFFFF"/>
          <w:lang w:val="en-US" w:eastAsia="zh-CN"/>
        </w:rPr>
      </w:pPr>
      <w:r>
        <w:rPr>
          <w:rFonts w:hint="eastAsia" w:ascii="黑体" w:hAnsi="黑体" w:eastAsia="黑体" w:cs="黑体"/>
          <w:b w:val="0"/>
          <w:i w:val="0"/>
          <w:caps w:val="0"/>
          <w:color w:val="auto"/>
          <w:spacing w:val="0"/>
          <w:sz w:val="32"/>
          <w:szCs w:val="32"/>
          <w:shd w:val="clear" w:color="auto" w:fill="FFFFFF"/>
          <w:lang w:val="en-US" w:eastAsia="zh-CN"/>
        </w:rPr>
        <w:t>四、绩效完成情况</w:t>
      </w:r>
    </w:p>
    <w:p>
      <w:pPr>
        <w:pStyle w:val="9"/>
        <w:ind w:firstLine="640" w:firstLineChars="200"/>
        <w:rPr>
          <w:rFonts w:hint="eastAsia" w:asciiTheme="minorEastAsia" w:hAnsiTheme="minorEastAsia" w:eastAsiaTheme="minorEastAsia" w:cstheme="minorEastAsia"/>
          <w:b w:val="0"/>
          <w:bCs w:val="0"/>
          <w:color w:val="auto"/>
          <w:sz w:val="32"/>
          <w:szCs w:val="32"/>
        </w:rPr>
      </w:pPr>
      <w:r>
        <w:rPr>
          <w:rFonts w:hint="eastAsia" w:ascii="仿宋_GB2312" w:hAnsi="仿宋_GB2312" w:eastAsia="仿宋_GB2312" w:cs="仿宋_GB2312"/>
          <w:color w:val="auto"/>
          <w:sz w:val="32"/>
          <w:szCs w:val="32"/>
          <w:u w:val="none"/>
        </w:rPr>
        <w:t>1、</w:t>
      </w:r>
      <w:r>
        <w:rPr>
          <w:rFonts w:hint="eastAsia" w:asciiTheme="minorEastAsia" w:hAnsiTheme="minorEastAsia" w:eastAsiaTheme="minorEastAsia" w:cstheme="minorEastAsia"/>
          <w:b w:val="0"/>
          <w:bCs w:val="0"/>
          <w:color w:val="auto"/>
          <w:sz w:val="32"/>
          <w:szCs w:val="32"/>
          <w:lang w:val="en-US" w:eastAsia="zh-CN"/>
        </w:rPr>
        <w:t>强推综合治理</w:t>
      </w:r>
      <w:r>
        <w:rPr>
          <w:rFonts w:hint="eastAsia" w:asciiTheme="minorEastAsia" w:hAnsiTheme="minorEastAsia" w:eastAsiaTheme="minorEastAsia" w:cstheme="minorEastAsia"/>
          <w:b w:val="0"/>
          <w:bCs w:val="0"/>
          <w:color w:val="auto"/>
          <w:sz w:val="32"/>
          <w:szCs w:val="32"/>
          <w:lang w:eastAsia="zh-CN"/>
        </w:rPr>
        <w:t>网格化</w:t>
      </w:r>
      <w:r>
        <w:rPr>
          <w:rFonts w:hint="eastAsia" w:asciiTheme="minorEastAsia" w:hAnsiTheme="minorEastAsia" w:eastAsiaTheme="minorEastAsia" w:cstheme="minorEastAsia"/>
          <w:b w:val="0"/>
          <w:bCs w:val="0"/>
          <w:color w:val="auto"/>
          <w:sz w:val="32"/>
          <w:szCs w:val="32"/>
        </w:rPr>
        <w:t>。在</w:t>
      </w:r>
      <w:r>
        <w:rPr>
          <w:rFonts w:hint="eastAsia" w:asciiTheme="minorEastAsia" w:hAnsiTheme="minorEastAsia" w:eastAsiaTheme="minorEastAsia" w:cstheme="minorEastAsia"/>
          <w:b w:val="0"/>
          <w:bCs w:val="0"/>
          <w:color w:val="auto"/>
          <w:sz w:val="32"/>
          <w:szCs w:val="32"/>
          <w:lang w:val="en-US" w:eastAsia="zh-CN"/>
        </w:rPr>
        <w:t>辖区</w:t>
      </w:r>
      <w:r>
        <w:rPr>
          <w:rFonts w:hint="eastAsia" w:asciiTheme="minorEastAsia" w:hAnsiTheme="minorEastAsia" w:eastAsiaTheme="minorEastAsia" w:cstheme="minorEastAsia"/>
          <w:b w:val="0"/>
          <w:bCs w:val="0"/>
          <w:color w:val="auto"/>
          <w:sz w:val="32"/>
          <w:szCs w:val="32"/>
        </w:rPr>
        <w:t>34个小区建立以楼栋长为</w:t>
      </w:r>
      <w:r>
        <w:rPr>
          <w:rFonts w:hint="eastAsia" w:asciiTheme="minorEastAsia" w:hAnsiTheme="minorEastAsia" w:eastAsiaTheme="minorEastAsia" w:cstheme="minorEastAsia"/>
          <w:b w:val="0"/>
          <w:bCs w:val="0"/>
          <w:color w:val="auto"/>
          <w:sz w:val="32"/>
          <w:szCs w:val="32"/>
          <w:lang w:val="en-US" w:eastAsia="zh-CN"/>
        </w:rPr>
        <w:t>网格长</w:t>
      </w:r>
      <w:r>
        <w:rPr>
          <w:rFonts w:hint="eastAsia" w:asciiTheme="minorEastAsia" w:hAnsiTheme="minorEastAsia" w:eastAsiaTheme="minorEastAsia" w:cstheme="minorEastAsia"/>
          <w:b w:val="0"/>
          <w:bCs w:val="0"/>
          <w:color w:val="auto"/>
          <w:sz w:val="32"/>
          <w:szCs w:val="32"/>
        </w:rPr>
        <w:t>的三级网格体系。</w:t>
      </w:r>
    </w:p>
    <w:p>
      <w:pPr>
        <w:pStyle w:val="9"/>
        <w:ind w:firstLine="640" w:firstLineChars="200"/>
        <w:rPr>
          <w:rFonts w:hint="eastAsia" w:asciiTheme="minorEastAsia" w:hAnsiTheme="minorEastAsia" w:eastAsiaTheme="minorEastAsia" w:cstheme="minorEastAsia"/>
          <w:sz w:val="32"/>
          <w:szCs w:val="32"/>
          <w:u w:val="none"/>
        </w:rPr>
      </w:pPr>
      <w:r>
        <w:rPr>
          <w:rFonts w:hint="eastAsia" w:ascii="仿宋_GB2312" w:hAnsi="仿宋_GB2312" w:eastAsia="仿宋_GB2312" w:cs="仿宋_GB2312"/>
          <w:sz w:val="32"/>
          <w:szCs w:val="32"/>
          <w:u w:val="none"/>
        </w:rPr>
        <w:t>2、</w:t>
      </w:r>
      <w:r>
        <w:rPr>
          <w:rFonts w:hint="eastAsia" w:asciiTheme="minorEastAsia" w:hAnsiTheme="minorEastAsia" w:eastAsiaTheme="minorEastAsia" w:cstheme="minorEastAsia"/>
          <w:b w:val="0"/>
          <w:bCs w:val="0"/>
          <w:color w:val="auto"/>
          <w:sz w:val="32"/>
          <w:szCs w:val="32"/>
        </w:rPr>
        <w:t>把准城市管理主脉搏</w:t>
      </w:r>
      <w:r>
        <w:rPr>
          <w:rFonts w:hint="eastAsia" w:asciiTheme="minorEastAsia" w:hAnsiTheme="minorEastAsia" w:eastAsiaTheme="minorEastAsia" w:cstheme="minorEastAsia"/>
          <w:b/>
          <w:bCs/>
          <w:color w:val="auto"/>
          <w:sz w:val="32"/>
          <w:szCs w:val="32"/>
        </w:rPr>
        <w:t>。</w:t>
      </w:r>
      <w:r>
        <w:rPr>
          <w:rFonts w:hint="eastAsia" w:asciiTheme="minorEastAsia" w:hAnsiTheme="minorEastAsia" w:eastAsiaTheme="minorEastAsia" w:cstheme="minorEastAsia"/>
          <w:sz w:val="32"/>
          <w:szCs w:val="32"/>
        </w:rPr>
        <w:t>街道以“三农贸市场、二个建材城”为重点，以国卫复审、文明创建为目标，建立办事处与社区齐抓共管的新模式，组成市场管理小分队，在街道联点领导的高度重视下，在区城管局的大力支持下，及时有效解决群众反映强烈的九十亭市场、双园市场、祭旗坡市场经营秩序混乱、脏乱差的老大难问题</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现已实现常态化管理</w:t>
      </w:r>
      <w:r>
        <w:rPr>
          <w:rFonts w:hint="eastAsia" w:asciiTheme="minorEastAsia" w:hAnsiTheme="minorEastAsia" w:eastAsiaTheme="minorEastAsia" w:cstheme="minorEastAsia"/>
          <w:sz w:val="32"/>
          <w:szCs w:val="32"/>
        </w:rPr>
        <w:t>。</w:t>
      </w:r>
    </w:p>
    <w:p>
      <w:pPr>
        <w:pStyle w:val="9"/>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u w:val="none"/>
        </w:rPr>
        <w:t>3、</w:t>
      </w:r>
      <w:r>
        <w:rPr>
          <w:rFonts w:hint="eastAsia" w:asciiTheme="minorEastAsia" w:hAnsiTheme="minorEastAsia" w:eastAsiaTheme="minorEastAsia" w:cstheme="minorEastAsia"/>
          <w:b w:val="0"/>
          <w:bCs w:val="0"/>
          <w:color w:val="auto"/>
          <w:sz w:val="32"/>
          <w:szCs w:val="32"/>
        </w:rPr>
        <w:t>加快旧城改造新步伐。</w:t>
      </w:r>
      <w:r>
        <w:rPr>
          <w:rFonts w:hint="eastAsia" w:asciiTheme="minorEastAsia" w:hAnsiTheme="minorEastAsia" w:eastAsiaTheme="minorEastAsia" w:cstheme="minorEastAsia"/>
          <w:b w:val="0"/>
          <w:bCs w:val="0"/>
          <w:sz w:val="32"/>
          <w:szCs w:val="32"/>
        </w:rPr>
        <w:t>统筹推进老旧小区、背街小巷改造，重点抓好祭旗社区大祥立交桥老旧小区扩改翻项目和红星社区特色小游园建设项目，目前红星小游园、大祥立交桥老旧小区扩改翻项目已全部改造到位。</w:t>
      </w:r>
    </w:p>
    <w:p>
      <w:pPr>
        <w:pStyle w:val="2"/>
        <w:keepNext w:val="0"/>
        <w:keepLines w:val="0"/>
        <w:pageBreakBefore w:val="0"/>
        <w:kinsoku/>
        <w:wordWrap/>
        <w:overflowPunct/>
        <w:topLinePunct w:val="0"/>
        <w:autoSpaceDE/>
        <w:autoSpaceDN/>
        <w:bidi w:val="0"/>
        <w:spacing w:line="560" w:lineRule="exact"/>
        <w:ind w:firstLine="640"/>
        <w:rPr>
          <w:rStyle w:val="11"/>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sz w:val="32"/>
          <w:szCs w:val="32"/>
          <w:u w:val="none"/>
        </w:rPr>
        <w:t>4、</w:t>
      </w:r>
      <w:r>
        <w:rPr>
          <w:rFonts w:hint="eastAsia" w:asciiTheme="minorEastAsia" w:hAnsiTheme="minorEastAsia" w:eastAsiaTheme="minorEastAsia" w:cstheme="minorEastAsia"/>
          <w:b w:val="0"/>
          <w:bCs w:val="0"/>
          <w:color w:val="auto"/>
          <w:sz w:val="32"/>
          <w:szCs w:val="32"/>
        </w:rPr>
        <w:t>开创信访工作新局面。实行领导轮流值班接访常态化，对社区实行“一周一调度，一月一考核”的信访工作机制，积极开展“治重化积”专项行动，按照“三到位一处理”原则，签订息访协议3起</w:t>
      </w:r>
      <w:r>
        <w:rPr>
          <w:rStyle w:val="11"/>
          <w:rFonts w:hint="eastAsia" w:asciiTheme="minorEastAsia" w:hAnsiTheme="minorEastAsia" w:eastAsiaTheme="minorEastAsia" w:cstheme="minorEastAsia"/>
          <w:b w:val="0"/>
          <w:bCs w:val="0"/>
          <w:color w:val="auto"/>
          <w:sz w:val="32"/>
          <w:szCs w:val="32"/>
        </w:rPr>
        <w:t>，今年</w:t>
      </w:r>
      <w:r>
        <w:rPr>
          <w:rFonts w:hint="eastAsia" w:asciiTheme="minorEastAsia" w:hAnsiTheme="minorEastAsia" w:eastAsiaTheme="minorEastAsia" w:cstheme="minorEastAsia"/>
          <w:b w:val="0"/>
          <w:bCs w:val="0"/>
          <w:color w:val="auto"/>
          <w:sz w:val="32"/>
          <w:szCs w:val="32"/>
        </w:rPr>
        <w:t>进京越级访为0登记</w:t>
      </w:r>
      <w:r>
        <w:rPr>
          <w:rFonts w:hint="eastAsia" w:asciiTheme="minorEastAsia" w:hAnsiTheme="minorEastAsia" w:eastAsiaTheme="minorEastAsia" w:cstheme="minorEastAsia"/>
          <w:b w:val="0"/>
          <w:bCs w:val="0"/>
          <w:color w:val="auto"/>
          <w:sz w:val="32"/>
          <w:szCs w:val="32"/>
          <w:lang w:eastAsia="zh-CN"/>
        </w:rPr>
        <w:t>，</w:t>
      </w:r>
      <w:r>
        <w:rPr>
          <w:rFonts w:hint="eastAsia" w:asciiTheme="minorEastAsia" w:hAnsiTheme="minorEastAsia" w:eastAsiaTheme="minorEastAsia" w:cstheme="minorEastAsia"/>
          <w:b w:val="0"/>
          <w:bCs w:val="0"/>
          <w:color w:val="auto"/>
          <w:sz w:val="32"/>
          <w:szCs w:val="32"/>
        </w:rPr>
        <w:t>上访量与201</w:t>
      </w:r>
      <w:r>
        <w:rPr>
          <w:rFonts w:hint="eastAsia" w:asciiTheme="minorEastAsia" w:hAnsiTheme="minorEastAsia" w:eastAsiaTheme="minorEastAsia" w:cstheme="minorEastAsia"/>
          <w:b w:val="0"/>
          <w:bCs w:val="0"/>
          <w:color w:val="auto"/>
          <w:sz w:val="32"/>
          <w:szCs w:val="32"/>
          <w:lang w:val="en-US" w:eastAsia="zh-CN"/>
        </w:rPr>
        <w:t>9</w:t>
      </w:r>
      <w:r>
        <w:rPr>
          <w:rFonts w:hint="eastAsia" w:asciiTheme="minorEastAsia" w:hAnsiTheme="minorEastAsia" w:eastAsiaTheme="minorEastAsia" w:cstheme="minorEastAsia"/>
          <w:b w:val="0"/>
          <w:bCs w:val="0"/>
          <w:color w:val="auto"/>
          <w:sz w:val="32"/>
          <w:szCs w:val="32"/>
        </w:rPr>
        <w:t>、20</w:t>
      </w:r>
      <w:r>
        <w:rPr>
          <w:rFonts w:hint="eastAsia" w:asciiTheme="minorEastAsia" w:hAnsiTheme="minorEastAsia" w:eastAsiaTheme="minorEastAsia" w:cstheme="minorEastAsia"/>
          <w:b w:val="0"/>
          <w:bCs w:val="0"/>
          <w:color w:val="auto"/>
          <w:sz w:val="32"/>
          <w:szCs w:val="32"/>
          <w:lang w:val="en-US" w:eastAsia="zh-CN"/>
        </w:rPr>
        <w:t>20</w:t>
      </w:r>
      <w:r>
        <w:rPr>
          <w:rFonts w:hint="eastAsia" w:asciiTheme="minorEastAsia" w:hAnsiTheme="minorEastAsia" w:eastAsiaTheme="minorEastAsia" w:cstheme="minorEastAsia"/>
          <w:b w:val="0"/>
          <w:bCs w:val="0"/>
          <w:color w:val="auto"/>
          <w:sz w:val="32"/>
          <w:szCs w:val="32"/>
        </w:rPr>
        <w:t>年同期相比下降了90%，上访的不正之风得到遏制，信访工作得到彻底扭转。信访工作获全省信访工作先进窗口单位。</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z w:val="32"/>
          <w:szCs w:val="32"/>
          <w:u w:val="none"/>
        </w:rPr>
        <w:t>5、</w:t>
      </w:r>
      <w:r>
        <w:rPr>
          <w:rFonts w:hint="eastAsia" w:asciiTheme="minorEastAsia" w:hAnsiTheme="minorEastAsia" w:eastAsiaTheme="minorEastAsia" w:cstheme="minorEastAsia"/>
          <w:b w:val="0"/>
          <w:bCs w:val="0"/>
          <w:color w:val="auto"/>
          <w:sz w:val="32"/>
          <w:szCs w:val="32"/>
        </w:rPr>
        <w:t>打好疫情防控阻击战。</w:t>
      </w:r>
      <w:r>
        <w:rPr>
          <w:rFonts w:hint="eastAsia" w:asciiTheme="minorEastAsia" w:hAnsiTheme="minorEastAsia" w:eastAsiaTheme="minorEastAsia" w:cstheme="minorEastAsia"/>
          <w:b w:val="0"/>
          <w:bCs w:val="0"/>
          <w:i w:val="0"/>
          <w:caps w:val="0"/>
          <w:color w:val="auto"/>
          <w:spacing w:val="0"/>
          <w:sz w:val="32"/>
          <w:szCs w:val="32"/>
          <w:shd w:val="clear" w:color="auto" w:fill="FFFFFF"/>
        </w:rPr>
        <w:t>本轮疫情发生以来，</w:t>
      </w:r>
      <w:r>
        <w:rPr>
          <w:rFonts w:hint="eastAsia" w:asciiTheme="minorEastAsia" w:hAnsiTheme="minorEastAsia" w:eastAsiaTheme="minorEastAsia" w:cstheme="minorEastAsia"/>
          <w:b w:val="0"/>
          <w:bCs w:val="0"/>
          <w:i w:val="0"/>
          <w:caps w:val="0"/>
          <w:color w:val="auto"/>
          <w:spacing w:val="0"/>
          <w:sz w:val="32"/>
          <w:szCs w:val="32"/>
          <w:shd w:val="clear" w:color="auto" w:fill="FFFFFF"/>
          <w:lang w:eastAsia="zh-CN"/>
        </w:rPr>
        <w:t>街道</w:t>
      </w:r>
      <w:r>
        <w:rPr>
          <w:rFonts w:hint="eastAsia" w:asciiTheme="minorEastAsia" w:hAnsiTheme="minorEastAsia" w:eastAsiaTheme="minorEastAsia" w:cstheme="minorEastAsia"/>
          <w:b w:val="0"/>
          <w:bCs w:val="0"/>
          <w:i w:val="0"/>
          <w:caps w:val="0"/>
          <w:color w:val="auto"/>
          <w:spacing w:val="0"/>
          <w:sz w:val="32"/>
          <w:szCs w:val="32"/>
          <w:shd w:val="clear" w:color="auto" w:fill="FFFFFF"/>
        </w:rPr>
        <w:t>坚决贯彻落实习近平总书记重要指示批示精神，始终把新冠肺炎疫情防控作为头等大事</w:t>
      </w:r>
      <w:r>
        <w:rPr>
          <w:rFonts w:hint="eastAsia" w:asciiTheme="minorEastAsia" w:hAnsiTheme="minorEastAsia" w:eastAsiaTheme="minorEastAsia" w:cstheme="minorEastAsia"/>
          <w:b w:val="0"/>
          <w:bCs w:val="0"/>
          <w:color w:val="auto"/>
          <w:sz w:val="32"/>
          <w:szCs w:val="32"/>
        </w:rPr>
        <w:t>。严控重点场所</w:t>
      </w:r>
      <w:r>
        <w:rPr>
          <w:rFonts w:hint="eastAsia" w:asciiTheme="minorEastAsia" w:hAnsiTheme="minorEastAsia" w:eastAsiaTheme="minorEastAsia" w:cstheme="minorEastAsia"/>
          <w:b w:val="0"/>
          <w:bCs w:val="0"/>
          <w:color w:val="auto"/>
          <w:sz w:val="32"/>
          <w:szCs w:val="32"/>
          <w:lang w:eastAsia="zh-CN"/>
        </w:rPr>
        <w:t>，</w:t>
      </w:r>
      <w:r>
        <w:rPr>
          <w:rFonts w:hint="eastAsia" w:asciiTheme="minorEastAsia" w:hAnsiTheme="minorEastAsia" w:eastAsiaTheme="minorEastAsia" w:cstheme="minorEastAsia"/>
          <w:b w:val="0"/>
          <w:bCs w:val="0"/>
          <w:color w:val="auto"/>
          <w:sz w:val="32"/>
          <w:szCs w:val="32"/>
        </w:rPr>
        <w:t>以网格化为依托开展对重点场所的管控，</w:t>
      </w:r>
      <w:r>
        <w:rPr>
          <w:rFonts w:hint="eastAsia" w:asciiTheme="minorEastAsia" w:hAnsiTheme="minorEastAsia" w:eastAsiaTheme="minorEastAsia" w:cstheme="minorEastAsia"/>
          <w:b w:val="0"/>
          <w:bCs w:val="0"/>
          <w:color w:val="auto"/>
          <w:sz w:val="32"/>
          <w:szCs w:val="32"/>
          <w:lang w:eastAsia="zh-CN"/>
        </w:rPr>
        <w:t>督导落实</w:t>
      </w:r>
      <w:r>
        <w:rPr>
          <w:rFonts w:hint="eastAsia" w:asciiTheme="minorEastAsia" w:hAnsiTheme="minorEastAsia" w:eastAsiaTheme="minorEastAsia" w:cstheme="minorEastAsia"/>
          <w:b w:val="0"/>
          <w:bCs w:val="0"/>
          <w:color w:val="auto"/>
          <w:sz w:val="32"/>
          <w:szCs w:val="32"/>
          <w:lang w:val="en-US" w:eastAsia="zh-CN"/>
        </w:rPr>
        <w:t>三码联查</w:t>
      </w:r>
      <w:r>
        <w:rPr>
          <w:rFonts w:hint="eastAsia" w:asciiTheme="minorEastAsia" w:hAnsiTheme="minorEastAsia" w:eastAsiaTheme="minorEastAsia" w:cstheme="minorEastAsia"/>
          <w:b w:val="0"/>
          <w:bCs w:val="0"/>
          <w:color w:val="auto"/>
          <w:sz w:val="32"/>
          <w:szCs w:val="32"/>
          <w:lang w:eastAsia="zh-CN"/>
        </w:rPr>
        <w:t>并做好出入人员登记。</w:t>
      </w:r>
      <w:r>
        <w:rPr>
          <w:rFonts w:hint="eastAsia" w:asciiTheme="minorEastAsia" w:hAnsiTheme="minorEastAsia" w:eastAsiaTheme="minorEastAsia" w:cstheme="minorEastAsia"/>
          <w:b w:val="0"/>
          <w:bCs w:val="0"/>
          <w:i w:val="0"/>
          <w:caps w:val="0"/>
          <w:color w:val="auto"/>
          <w:spacing w:val="0"/>
          <w:sz w:val="32"/>
          <w:szCs w:val="32"/>
          <w:shd w:val="clear" w:color="auto" w:fill="FFFFFF"/>
        </w:rPr>
        <w:t>加快疫苗接种</w:t>
      </w:r>
      <w:r>
        <w:rPr>
          <w:rFonts w:hint="eastAsia" w:asciiTheme="minorEastAsia" w:hAnsiTheme="minorEastAsia" w:eastAsiaTheme="minorEastAsia" w:cstheme="minorEastAsia"/>
          <w:b w:val="0"/>
          <w:bCs w:val="0"/>
          <w:i w:val="0"/>
          <w:caps w:val="0"/>
          <w:color w:val="auto"/>
          <w:spacing w:val="0"/>
          <w:sz w:val="32"/>
          <w:szCs w:val="32"/>
          <w:shd w:val="clear" w:color="auto" w:fill="FFFFFF"/>
          <w:lang w:eastAsia="zh-CN"/>
        </w:rPr>
        <w:t>，</w:t>
      </w:r>
      <w:r>
        <w:rPr>
          <w:rFonts w:hint="eastAsia" w:asciiTheme="minorEastAsia" w:hAnsiTheme="minorEastAsia" w:eastAsiaTheme="minorEastAsia" w:cstheme="minorEastAsia"/>
          <w:b w:val="0"/>
          <w:bCs w:val="0"/>
          <w:color w:val="auto"/>
          <w:kern w:val="2"/>
          <w:sz w:val="32"/>
          <w:szCs w:val="32"/>
          <w:lang w:eastAsia="zh-CN"/>
        </w:rPr>
        <w:t>疫苗接种“清零行动”开展以来，街居干部一边倒，同时各社区根据实际情况聘请志愿者配合网格员进小区、进门店、入楼栋，扎实开展</w:t>
      </w:r>
      <w:r>
        <w:rPr>
          <w:rFonts w:hint="eastAsia" w:asciiTheme="minorEastAsia" w:hAnsiTheme="minorEastAsia" w:eastAsiaTheme="minorEastAsia" w:cstheme="minorEastAsia"/>
          <w:b w:val="0"/>
          <w:bCs w:val="0"/>
          <w:color w:val="auto"/>
          <w:kern w:val="2"/>
          <w:sz w:val="32"/>
          <w:szCs w:val="32"/>
        </w:rPr>
        <w:t>“敲门行动”，</w:t>
      </w:r>
      <w:r>
        <w:rPr>
          <w:rFonts w:hint="eastAsia" w:asciiTheme="minorEastAsia" w:hAnsiTheme="minorEastAsia" w:eastAsiaTheme="minorEastAsia" w:cstheme="minorEastAsia"/>
          <w:b w:val="0"/>
          <w:bCs w:val="0"/>
          <w:color w:val="auto"/>
          <w:kern w:val="2"/>
          <w:sz w:val="32"/>
          <w:szCs w:val="32"/>
          <w:lang w:eastAsia="zh-CN"/>
        </w:rPr>
        <w:t>发动群众接种疫苗，目前为此完成接种</w:t>
      </w:r>
      <w:r>
        <w:rPr>
          <w:rFonts w:hint="eastAsia" w:asciiTheme="minorEastAsia" w:hAnsiTheme="minorEastAsia" w:eastAsiaTheme="minorEastAsia" w:cstheme="minorEastAsia"/>
          <w:b w:val="0"/>
          <w:bCs w:val="0"/>
          <w:color w:val="auto"/>
          <w:kern w:val="2"/>
          <w:sz w:val="32"/>
          <w:szCs w:val="32"/>
          <w:lang w:val="en-US" w:eastAsia="zh-CN"/>
        </w:rPr>
        <w:t>48571剂</w:t>
      </w:r>
      <w:r>
        <w:rPr>
          <w:rFonts w:hint="eastAsia" w:asciiTheme="minorEastAsia" w:hAnsiTheme="minorEastAsia" w:eastAsiaTheme="minorEastAsia" w:cstheme="minorEastAsia"/>
          <w:b w:val="0"/>
          <w:bCs w:val="0"/>
          <w:color w:val="auto"/>
          <w:kern w:val="2"/>
          <w:sz w:val="32"/>
          <w:szCs w:val="32"/>
        </w:rPr>
        <w:t>次。</w:t>
      </w:r>
      <w:r>
        <w:rPr>
          <w:rFonts w:hint="eastAsia" w:asciiTheme="minorEastAsia" w:hAnsiTheme="minorEastAsia" w:eastAsiaTheme="minorEastAsia" w:cstheme="minorEastAsia"/>
          <w:b w:val="0"/>
          <w:bCs w:val="0"/>
          <w:color w:val="auto"/>
          <w:sz w:val="32"/>
          <w:szCs w:val="32"/>
        </w:rPr>
        <w:t>做细日常工</w:t>
      </w:r>
      <w:r>
        <w:rPr>
          <w:rFonts w:hint="eastAsia" w:asciiTheme="minorEastAsia" w:hAnsiTheme="minorEastAsia" w:eastAsiaTheme="minorEastAsia" w:cstheme="minorEastAsia"/>
          <w:b w:val="0"/>
          <w:bCs w:val="0"/>
          <w:color w:val="auto"/>
          <w:sz w:val="32"/>
          <w:szCs w:val="32"/>
          <w:lang w:eastAsia="zh-CN"/>
        </w:rPr>
        <w:t>作，</w:t>
      </w:r>
      <w:r>
        <w:rPr>
          <w:rFonts w:hint="eastAsia" w:asciiTheme="minorEastAsia" w:hAnsiTheme="minorEastAsia" w:eastAsiaTheme="minorEastAsia" w:cstheme="minorEastAsia"/>
          <w:b w:val="0"/>
          <w:bCs w:val="0"/>
          <w:color w:val="auto"/>
          <w:kern w:val="2"/>
          <w:sz w:val="32"/>
          <w:szCs w:val="32"/>
        </w:rPr>
        <w:t>加强对疫情防控工作的保障力度，落实好疫情监测、防护、处理等医疗用品储备，组织专班开展疫情防控的日常工作，扎实做好了大数据推送回邵人员的管控及资料收集和报送</w:t>
      </w:r>
      <w:r>
        <w:rPr>
          <w:rFonts w:hint="eastAsia" w:asciiTheme="minorEastAsia" w:hAnsiTheme="minorEastAsia" w:eastAsiaTheme="minorEastAsia" w:cstheme="minorEastAsia"/>
          <w:b w:val="0"/>
          <w:bCs w:val="0"/>
          <w:color w:val="auto"/>
          <w:kern w:val="2"/>
          <w:sz w:val="32"/>
          <w:szCs w:val="32"/>
          <w:lang w:eastAsia="zh-CN"/>
        </w:rPr>
        <w:t>。</w:t>
      </w:r>
      <w:r>
        <w:rPr>
          <w:rFonts w:hint="eastAsia" w:asciiTheme="minorEastAsia" w:hAnsiTheme="minorEastAsia" w:eastAsiaTheme="minorEastAsia" w:cstheme="minorEastAsia"/>
          <w:b w:val="0"/>
          <w:bCs w:val="0"/>
          <w:color w:val="auto"/>
          <w:sz w:val="32"/>
          <w:szCs w:val="32"/>
        </w:rPr>
        <w:t>把好重点关口</w:t>
      </w:r>
      <w:r>
        <w:rPr>
          <w:rFonts w:hint="eastAsia" w:asciiTheme="minorEastAsia" w:hAnsiTheme="minorEastAsia" w:eastAsiaTheme="minorEastAsia" w:cstheme="minorEastAsia"/>
          <w:b w:val="0"/>
          <w:bCs w:val="0"/>
          <w:color w:val="auto"/>
          <w:sz w:val="32"/>
          <w:szCs w:val="32"/>
          <w:lang w:eastAsia="zh-CN"/>
        </w:rPr>
        <w:t>，</w:t>
      </w:r>
      <w:r>
        <w:rPr>
          <w:rFonts w:hint="eastAsia" w:asciiTheme="minorEastAsia" w:hAnsiTheme="minorEastAsia" w:eastAsiaTheme="minorEastAsia" w:cstheme="minorEastAsia"/>
          <w:b w:val="0"/>
          <w:bCs w:val="0"/>
          <w:color w:val="auto"/>
          <w:sz w:val="32"/>
          <w:szCs w:val="32"/>
        </w:rPr>
        <w:t>全力配合相关部门搞好火车站出站口</w:t>
      </w:r>
      <w:r>
        <w:rPr>
          <w:rFonts w:hint="eastAsia" w:asciiTheme="minorEastAsia" w:hAnsiTheme="minorEastAsia" w:eastAsiaTheme="minorEastAsia" w:cstheme="minorEastAsia"/>
          <w:b w:val="0"/>
          <w:bCs w:val="0"/>
          <w:color w:val="auto"/>
          <w:sz w:val="32"/>
          <w:szCs w:val="32"/>
          <w:lang w:eastAsia="zh-CN"/>
        </w:rPr>
        <w:t>及南互通的</w:t>
      </w:r>
      <w:r>
        <w:rPr>
          <w:rFonts w:hint="eastAsia" w:asciiTheme="minorEastAsia" w:hAnsiTheme="minorEastAsia" w:eastAsiaTheme="minorEastAsia" w:cstheme="minorEastAsia"/>
          <w:b w:val="0"/>
          <w:bCs w:val="0"/>
          <w:color w:val="auto"/>
          <w:sz w:val="32"/>
          <w:szCs w:val="32"/>
        </w:rPr>
        <w:t>疫情防</w:t>
      </w:r>
      <w:r>
        <w:rPr>
          <w:rFonts w:hint="eastAsia" w:asciiTheme="minorEastAsia" w:hAnsiTheme="minorEastAsia" w:eastAsiaTheme="minorEastAsia" w:cstheme="minorEastAsia"/>
          <w:b w:val="0"/>
          <w:bCs w:val="0"/>
          <w:color w:val="auto"/>
          <w:sz w:val="32"/>
          <w:szCs w:val="32"/>
          <w:lang w:eastAsia="zh-CN"/>
        </w:rPr>
        <w:t>控，</w:t>
      </w:r>
      <w:r>
        <w:rPr>
          <w:rFonts w:hint="eastAsia" w:asciiTheme="minorEastAsia" w:hAnsiTheme="minorEastAsia" w:eastAsiaTheme="minorEastAsia" w:cstheme="minorEastAsia"/>
          <w:b w:val="0"/>
          <w:bCs w:val="0"/>
          <w:color w:val="auto"/>
          <w:sz w:val="32"/>
          <w:szCs w:val="32"/>
        </w:rPr>
        <w:t>并牵头做好火车站出站口后勤保障工作</w:t>
      </w:r>
      <w:r>
        <w:rPr>
          <w:rFonts w:hint="eastAsia" w:asciiTheme="minorEastAsia" w:hAnsiTheme="minorEastAsia" w:eastAsiaTheme="minorEastAsia" w:cstheme="minorEastAsia"/>
          <w:b w:val="0"/>
          <w:bCs w:val="0"/>
          <w:color w:val="auto"/>
          <w:sz w:val="32"/>
          <w:szCs w:val="32"/>
          <w:lang w:eastAsia="zh-CN"/>
        </w:rPr>
        <w:t>。</w:t>
      </w:r>
    </w:p>
    <w:p>
      <w:pPr>
        <w:pStyle w:val="9"/>
        <w:ind w:firstLine="640" w:firstLineChars="200"/>
        <w:rPr>
          <w:rFonts w:hint="eastAsia" w:asciiTheme="minorEastAsia" w:hAnsiTheme="minorEastAsia" w:eastAsiaTheme="minorEastAsia" w:cstheme="minorEastAsia"/>
          <w:b w:val="0"/>
          <w:bCs w:val="0"/>
          <w:color w:val="auto"/>
          <w:sz w:val="32"/>
          <w:szCs w:val="32"/>
          <w:u w:val="none"/>
        </w:rPr>
      </w:pPr>
    </w:p>
    <w:p>
      <w:pPr>
        <w:pStyle w:val="9"/>
        <w:ind w:firstLine="640" w:firstLineChars="200"/>
        <w:rPr>
          <w:rFonts w:hint="eastAsia" w:asciiTheme="minorEastAsia" w:hAnsiTheme="minorEastAsia" w:eastAsiaTheme="minorEastAsia" w:cstheme="minorEastAsia"/>
          <w:b w:val="0"/>
          <w:bCs w:val="0"/>
          <w:sz w:val="32"/>
          <w:szCs w:val="32"/>
          <w:u w:val="none"/>
        </w:rPr>
      </w:pPr>
      <w:r>
        <w:rPr>
          <w:rFonts w:hint="eastAsia" w:asciiTheme="minorEastAsia" w:hAnsiTheme="minorEastAsia" w:eastAsiaTheme="minorEastAsia" w:cstheme="minorEastAsia"/>
          <w:b w:val="0"/>
          <w:bCs w:val="0"/>
          <w:kern w:val="2"/>
          <w:sz w:val="32"/>
          <w:szCs w:val="32"/>
          <w:u w:val="none"/>
        </w:rPr>
        <w:t>6、</w:t>
      </w:r>
      <w:r>
        <w:rPr>
          <w:rFonts w:hint="eastAsia" w:asciiTheme="minorEastAsia" w:hAnsiTheme="minorEastAsia" w:eastAsiaTheme="minorEastAsia" w:cstheme="minorEastAsia"/>
          <w:b w:val="0"/>
          <w:bCs w:val="0"/>
          <w:color w:val="auto"/>
          <w:kern w:val="0"/>
          <w:sz w:val="32"/>
          <w:szCs w:val="32"/>
          <w:lang w:val="en-US" w:eastAsia="zh-CN" w:bidi="ar-SA"/>
        </w:rPr>
        <w:t>唱响安全生产主旋律。建立常态化巡查机制，开展企业、门店安全生产检查30余次，公布了安全隐患举报电话，建立“企业全面负责、社会广泛参与、部门齐抓共管”的安全生产工作格局，改造祭旗坡社区群众危房5处，板铺下马组的地质灾害治理在区联点领导的重视已基本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43" w:firstLineChars="200"/>
        <w:rPr>
          <w:rFonts w:hint="eastAsia" w:ascii="黑体" w:hAnsi="黑体" w:eastAsia="黑体" w:cs="黑体"/>
          <w:b/>
          <w:bCs/>
          <w:i w:val="0"/>
          <w:caps w:val="0"/>
          <w:color w:val="555555"/>
          <w:spacing w:val="0"/>
          <w:sz w:val="32"/>
          <w:szCs w:val="32"/>
        </w:rPr>
      </w:pPr>
      <w:r>
        <w:rPr>
          <w:rFonts w:hint="eastAsia" w:ascii="黑体" w:hAnsi="黑体" w:eastAsia="黑体" w:cs="黑体"/>
          <w:b/>
          <w:bCs/>
          <w:i w:val="0"/>
          <w:caps w:val="0"/>
          <w:color w:val="555555"/>
          <w:spacing w:val="0"/>
          <w:sz w:val="32"/>
          <w:szCs w:val="32"/>
          <w:shd w:val="clear" w:fill="FFFFFF"/>
          <w:lang w:eastAsia="zh-CN"/>
        </w:rPr>
        <w:t>五</w:t>
      </w:r>
      <w:r>
        <w:rPr>
          <w:rFonts w:hint="eastAsia" w:ascii="黑体" w:hAnsi="黑体" w:eastAsia="黑体" w:cs="黑体"/>
          <w:b/>
          <w:bCs/>
          <w:i w:val="0"/>
          <w:caps w:val="0"/>
          <w:color w:val="555555"/>
          <w:spacing w:val="0"/>
          <w:sz w:val="32"/>
          <w:szCs w:val="32"/>
          <w:shd w:val="clear" w:fill="FFFFFF"/>
        </w:rPr>
        <w:t>、评价结论及建议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Theme="minorEastAsia" w:hAnsiTheme="minorEastAsia" w:eastAsiaTheme="minorEastAsia" w:cstheme="minorEastAsia"/>
          <w:b w:val="0"/>
          <w:i w:val="0"/>
          <w:caps w:val="0"/>
          <w:color w:val="auto"/>
          <w:spacing w:val="0"/>
          <w:sz w:val="32"/>
          <w:szCs w:val="32"/>
        </w:rPr>
      </w:pPr>
      <w:r>
        <w:rPr>
          <w:rFonts w:hint="eastAsia" w:ascii="仿宋_GB2312" w:hAnsi="仿宋_GB2312" w:eastAsia="仿宋_GB2312" w:cs="仿宋_GB2312"/>
          <w:b w:val="0"/>
          <w:i w:val="0"/>
          <w:caps w:val="0"/>
          <w:color w:val="555555"/>
          <w:spacing w:val="0"/>
          <w:sz w:val="32"/>
          <w:szCs w:val="32"/>
          <w:shd w:val="clear" w:fill="FFFFFF"/>
        </w:rPr>
        <w:t>　　</w:t>
      </w:r>
      <w:r>
        <w:rPr>
          <w:rFonts w:hint="eastAsia" w:asciiTheme="minorEastAsia" w:hAnsiTheme="minorEastAsia" w:eastAsiaTheme="minorEastAsia" w:cstheme="minorEastAsia"/>
          <w:b w:val="0"/>
          <w:i w:val="0"/>
          <w:caps w:val="0"/>
          <w:color w:val="auto"/>
          <w:spacing w:val="0"/>
          <w:sz w:val="32"/>
          <w:szCs w:val="32"/>
          <w:shd w:val="clear" w:fill="FFFFFF"/>
        </w:rPr>
        <w:t>（一）评价结论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Theme="minorEastAsia" w:hAnsiTheme="minorEastAsia" w:eastAsiaTheme="minorEastAsia" w:cstheme="minorEastAsia"/>
          <w:b w:val="0"/>
          <w:i w:val="0"/>
          <w:caps w:val="0"/>
          <w:color w:val="auto"/>
          <w:spacing w:val="0"/>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　　综上所述，我单位在预算编制、预算执行、支出</w:t>
      </w:r>
      <w:bookmarkStart w:id="0" w:name="_GoBack"/>
      <w:bookmarkEnd w:id="0"/>
      <w:r>
        <w:rPr>
          <w:rFonts w:hint="eastAsia" w:asciiTheme="minorEastAsia" w:hAnsiTheme="minorEastAsia" w:eastAsiaTheme="minorEastAsia" w:cstheme="minorEastAsia"/>
          <w:b w:val="0"/>
          <w:i w:val="0"/>
          <w:caps w:val="0"/>
          <w:color w:val="auto"/>
          <w:spacing w:val="0"/>
          <w:sz w:val="32"/>
          <w:szCs w:val="32"/>
          <w:shd w:val="clear" w:fill="FFFFFF"/>
        </w:rPr>
        <w:t>绩效方面，严格按照规定执行，合理安排支出，使财政资金发挥最大使用效益。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Theme="minorEastAsia" w:hAnsiTheme="minorEastAsia" w:eastAsiaTheme="minorEastAsia" w:cstheme="minorEastAsia"/>
          <w:b w:val="0"/>
          <w:i w:val="0"/>
          <w:caps w:val="0"/>
          <w:color w:val="auto"/>
          <w:spacing w:val="0"/>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　　（二）存在问题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Theme="minorEastAsia" w:hAnsiTheme="minorEastAsia" w:eastAsiaTheme="minorEastAsia" w:cstheme="minorEastAsia"/>
          <w:b w:val="0"/>
          <w:i w:val="0"/>
          <w:caps w:val="0"/>
          <w:color w:val="auto"/>
          <w:spacing w:val="0"/>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　　预算管理和财务管理有待加强，经费核算需进一步完善。在核算过程中部分支出难以区分支出范围，资金使用存在界限不清的现象。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Theme="minorEastAsia" w:hAnsiTheme="minorEastAsia" w:eastAsiaTheme="minorEastAsia" w:cstheme="minorEastAsia"/>
          <w:b w:val="0"/>
          <w:i w:val="0"/>
          <w:caps w:val="0"/>
          <w:color w:val="auto"/>
          <w:spacing w:val="0"/>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　　（三）改进建议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Theme="minorEastAsia" w:hAnsiTheme="minorEastAsia" w:eastAsiaTheme="minorEastAsia" w:cstheme="minorEastAsia"/>
          <w:b w:val="0"/>
          <w:i w:val="0"/>
          <w:caps w:val="0"/>
          <w:color w:val="auto"/>
          <w:spacing w:val="0"/>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　　1、细化预算编制工作，认真做好年初预算编制。进一步加强单位内部各股室的预算管理意识，严格按照预算编制的相关要求进行编制。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Theme="minorEastAsia" w:hAnsiTheme="minorEastAsia" w:eastAsiaTheme="minorEastAsia" w:cstheme="minorEastAsia"/>
          <w:b w:val="0"/>
          <w:i w:val="0"/>
          <w:caps w:val="0"/>
          <w:color w:val="auto"/>
          <w:spacing w:val="0"/>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　　2、加强财务管理，严格财务审核。加强单位财务管理，健全单位财务管理制度体系，规范单位财务行为。在费用报销时，按照预算规定的项目和用途进行资金使用审核、支付及财务核算，预防超支现象的发生。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Theme="minorEastAsia" w:hAnsiTheme="minorEastAsia" w:eastAsiaTheme="minorEastAsia" w:cstheme="minorEastAsia"/>
          <w:b w:val="0"/>
          <w:i w:val="0"/>
          <w:caps w:val="0"/>
          <w:color w:val="auto"/>
          <w:spacing w:val="0"/>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　　3、加强对相关人员培训，特别是针对《预算法》、《政府会计制度》等方面学习培训，规范部门预算收支核算，切实提高部门预算收支管理水平。</w:t>
      </w:r>
    </w:p>
    <w:p>
      <w:pPr>
        <w:pStyle w:val="9"/>
        <w:numPr>
          <w:ilvl w:val="0"/>
          <w:numId w:val="0"/>
        </w:numPr>
        <w:spacing w:line="600" w:lineRule="exact"/>
        <w:ind w:leftChars="400"/>
        <w:rPr>
          <w:rFonts w:hint="eastAsia" w:asciiTheme="minorEastAsia" w:hAnsiTheme="minorEastAsia" w:eastAsiaTheme="minorEastAsia" w:cstheme="minorEastAsia"/>
          <w:b w:val="0"/>
          <w:i w:val="0"/>
          <w:caps w:val="0"/>
          <w:color w:val="auto"/>
          <w:spacing w:val="0"/>
          <w:sz w:val="32"/>
          <w:szCs w:val="32"/>
          <w:shd w:val="clear" w:color="auto" w:fill="FFFFFF"/>
          <w:lang w:val="en-US" w:eastAsia="zh-CN"/>
        </w:rPr>
      </w:pPr>
      <w:r>
        <w:rPr>
          <w:rFonts w:hint="eastAsia" w:asciiTheme="minorEastAsia" w:hAnsiTheme="minorEastAsia" w:eastAsiaTheme="minorEastAsia" w:cstheme="minorEastAsia"/>
          <w:b w:val="0"/>
          <w:i w:val="0"/>
          <w:caps w:val="0"/>
          <w:color w:val="auto"/>
          <w:spacing w:val="0"/>
          <w:sz w:val="32"/>
          <w:szCs w:val="32"/>
          <w:shd w:val="clear" w:fill="FFFFFF"/>
        </w:rPr>
        <w:t>　　</w:t>
      </w:r>
    </w:p>
    <w:p>
      <w:pPr>
        <w:rPr>
          <w:rFonts w:hint="eastAsia" w:asciiTheme="minorEastAsia" w:hAnsiTheme="minorEastAsia" w:eastAsiaTheme="minorEastAsia" w:cstheme="minorEastAsia"/>
          <w:color w:val="auto"/>
          <w:sz w:val="32"/>
          <w:szCs w:val="32"/>
        </w:rPr>
      </w:pPr>
    </w:p>
    <w:p>
      <w:pPr>
        <w:pStyle w:val="9"/>
        <w:ind w:firstLine="640" w:firstLineChars="200"/>
        <w:rPr>
          <w:rFonts w:hint="eastAsia" w:asciiTheme="minorEastAsia" w:hAnsiTheme="minorEastAsia" w:eastAsiaTheme="minorEastAsia" w:cstheme="minorEastAsia"/>
          <w:color w:val="auto"/>
          <w:sz w:val="32"/>
          <w:szCs w:val="32"/>
          <w:u w:val="none"/>
        </w:rPr>
      </w:pPr>
    </w:p>
    <w:p>
      <w:pPr>
        <w:pStyle w:val="9"/>
        <w:ind w:firstLine="640" w:firstLineChars="200"/>
        <w:rPr>
          <w:rFonts w:hint="eastAsia" w:asciiTheme="minorEastAsia" w:hAnsiTheme="minorEastAsia" w:eastAsiaTheme="minorEastAsia" w:cstheme="minorEastAsia"/>
          <w:color w:val="auto"/>
          <w:sz w:val="32"/>
          <w:szCs w:val="3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ODQ1OTk2NGFhMWY1NWFlZTIzZWYxY2VmZjM5NzEifQ=="/>
  </w:docVars>
  <w:rsids>
    <w:rsidRoot w:val="6DD74F2C"/>
    <w:rsid w:val="049B1DAB"/>
    <w:rsid w:val="073B7770"/>
    <w:rsid w:val="07B264E8"/>
    <w:rsid w:val="0E8317EF"/>
    <w:rsid w:val="0F535A31"/>
    <w:rsid w:val="15361BB8"/>
    <w:rsid w:val="155F4AA1"/>
    <w:rsid w:val="18462ABE"/>
    <w:rsid w:val="18A904EC"/>
    <w:rsid w:val="18B34D43"/>
    <w:rsid w:val="18D63FDF"/>
    <w:rsid w:val="197B5CE1"/>
    <w:rsid w:val="1D027955"/>
    <w:rsid w:val="220F01D5"/>
    <w:rsid w:val="227D69A7"/>
    <w:rsid w:val="23FE56F3"/>
    <w:rsid w:val="2629139A"/>
    <w:rsid w:val="2C630126"/>
    <w:rsid w:val="2DD106FE"/>
    <w:rsid w:val="2EB841E3"/>
    <w:rsid w:val="321E264C"/>
    <w:rsid w:val="33E067D2"/>
    <w:rsid w:val="39992CD2"/>
    <w:rsid w:val="3D8D2D62"/>
    <w:rsid w:val="421E713B"/>
    <w:rsid w:val="44034FA5"/>
    <w:rsid w:val="4D970A96"/>
    <w:rsid w:val="4FB57455"/>
    <w:rsid w:val="51FB4BE0"/>
    <w:rsid w:val="52600143"/>
    <w:rsid w:val="56CF6441"/>
    <w:rsid w:val="58D816A4"/>
    <w:rsid w:val="5A765FA5"/>
    <w:rsid w:val="5B1F051B"/>
    <w:rsid w:val="5C985DE2"/>
    <w:rsid w:val="5E9D018F"/>
    <w:rsid w:val="61C934F9"/>
    <w:rsid w:val="666D7A6C"/>
    <w:rsid w:val="667843FE"/>
    <w:rsid w:val="669319E0"/>
    <w:rsid w:val="6DD74F2C"/>
    <w:rsid w:val="70806DD1"/>
    <w:rsid w:val="71271E48"/>
    <w:rsid w:val="74CC2343"/>
    <w:rsid w:val="75EC545C"/>
    <w:rsid w:val="761847AF"/>
    <w:rsid w:val="76C05E5D"/>
    <w:rsid w:val="77EC156E"/>
    <w:rsid w:val="78B917D2"/>
    <w:rsid w:val="7AA51542"/>
    <w:rsid w:val="7C583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napToGrid w:val="0"/>
      <w:spacing w:after="0" w:line="660" w:lineRule="exact"/>
      <w:ind w:left="0" w:leftChars="0" w:firstLine="420" w:firstLineChars="200"/>
      <w:jc w:val="both"/>
      <w:textAlignment w:val="baseline"/>
    </w:pPr>
    <w:rPr>
      <w:rFonts w:ascii="仿宋_GB2312" w:eastAsia="仿宋_GB2312"/>
      <w:kern w:val="0"/>
      <w:sz w:val="32"/>
    </w:rPr>
  </w:style>
  <w:style w:type="paragraph" w:customStyle="1" w:styleId="3">
    <w:name w:val="BodyTextIndent"/>
    <w:basedOn w:val="1"/>
    <w:qFormat/>
    <w:uiPriority w:val="0"/>
    <w:pPr>
      <w:spacing w:after="120" w:line="240" w:lineRule="auto"/>
      <w:ind w:left="420" w:leftChars="200"/>
      <w:jc w:val="both"/>
      <w:textAlignment w:val="baseline"/>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公1"/>
    <w:basedOn w:val="1"/>
    <w:qFormat/>
    <w:uiPriority w:val="0"/>
    <w:pPr>
      <w:ind w:firstLine="200" w:firstLineChars="200"/>
    </w:pPr>
    <w:rPr>
      <w:color w:val="000000"/>
      <w:szCs w:val="20"/>
    </w:rPr>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0">
    <w:name w:val="List Paragraph"/>
    <w:basedOn w:val="1"/>
    <w:qFormat/>
    <w:uiPriority w:val="34"/>
    <w:pPr>
      <w:ind w:firstLine="420" w:firstLineChars="200"/>
    </w:pPr>
    <w:rPr>
      <w:rFonts w:ascii="Calibri" w:hAnsi="Calibri" w:eastAsia="宋体" w:cs="Times New Roman"/>
      <w:szCs w:val="22"/>
    </w:rPr>
  </w:style>
  <w:style w:type="character" w:customStyle="1" w:styleId="11">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2811</Words>
  <Characters>2914</Characters>
  <Lines>0</Lines>
  <Paragraphs>0</Paragraphs>
  <TotalTime>2</TotalTime>
  <ScaleCrop>false</ScaleCrop>
  <LinksUpToDate>false</LinksUpToDate>
  <CharactersWithSpaces>2932</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2021-09-08T09:23:00Z</dcterms:created>
  <dc:creator>舍  得</dc:creator>
  <cp:lastModifiedBy>Caffeine</cp:lastModifiedBy>
  <dcterms:modified xsi:type="dcterms:W3CDTF">2022-09-26T16:03:21Z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38A3963F4EC549D3BC8B711BDA7CF0FE</vt:lpwstr>
  </property>
</Properties>
</file>