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/>
          <w:lang w:eastAsia="zh-CN"/>
        </w:rPr>
      </w:pPr>
      <w:r>
        <w:t>202</w:t>
      </w:r>
      <w:r>
        <w:rPr>
          <w:rFonts w:hint="eastAsia"/>
          <w:lang w:val="en-US" w:eastAsia="zh-CN"/>
        </w:rPr>
        <w:t>1</w:t>
      </w:r>
      <w:r>
        <w:t>年</w:t>
      </w:r>
      <w:r>
        <w:rPr>
          <w:rFonts w:hint="eastAsia"/>
          <w:lang w:val="en-US" w:eastAsia="zh-CN"/>
        </w:rPr>
        <w:t>邵阳市</w:t>
      </w:r>
      <w:r>
        <w:t>大祥区</w:t>
      </w:r>
      <w:r>
        <w:rPr>
          <w:rFonts w:hint="eastAsia"/>
          <w:lang w:eastAsia="zh-CN"/>
        </w:rPr>
        <w:t>农机局</w:t>
      </w:r>
    </w:p>
    <w:p>
      <w:pPr>
        <w:pStyle w:val="2"/>
        <w:widowControl/>
        <w:jc w:val="center"/>
        <w:rPr>
          <w:rFonts w:hint="default"/>
          <w:kern w:val="0"/>
          <w:sz w:val="44"/>
          <w:szCs w:val="44"/>
        </w:rPr>
      </w:pPr>
      <w:r>
        <w:t>部门绩效评价报告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大祥区农机局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部门概况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一）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、部门职责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）贯彻执行国家和省、有关农业机械化的法律、法规、规章，负责有关行政执法和执法监督。制订有关农业机械安全生产、作业规范、技术标准和监督管理的规章制度和措施，并组织实施。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）提出全区农业机械化发展方向、发展战略、中长期发展规划及重大技术措施建议，经批准后组织实施。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）指导全区农业机械化服务体系建设和农业机械信息网络建设；拟订农业机械基层组织服务规范；负责组织农业机械投入抗灾救灾工作。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）根据国家农业机械化产业政策，提出我区农业机械化产业政策建议，引导农业机械产业结构调整提高产业机械化普及和应用水平：      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）拟订农业机械化科技、教育发展规划和年度实施计划；参与研究拟订有关农业机械化科技政策；组织农业机械科研和技术推广项，目的遴选及实施；指导农业机械行业职业技能开发。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）组织实施拖拉机、联合收割机、农用运输拖拉机等农业机械安全监理；负责农机产品的质量检验、鉴定和认证工作。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）提出发展农业机械化事业的各项资金计划并组织监督实施；负责农业机械化各类经济指标的统计工作。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（八）承办区委、区人民政府交办的其他事项。</w:t>
      </w:r>
    </w:p>
    <w:p>
      <w:pPr>
        <w:widowControl/>
        <w:spacing w:line="62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（二）内设机构设置。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邵阳市大祥区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农机局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为大祥区农业农村局二级机构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内设办公室、农机安全监理站、农机推广站。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二、财务收支情况说明</w:t>
      </w:r>
    </w:p>
    <w:p>
      <w:pPr>
        <w:pStyle w:val="8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int="eastAsia" w:hAnsi="黑体" w:cs="Times New Roman"/>
          <w:color w:val="auto"/>
          <w:sz w:val="32"/>
          <w:szCs w:val="32"/>
        </w:rPr>
        <w:t>1</w:t>
      </w:r>
      <w:r>
        <w:rPr>
          <w:rFonts w:hAnsi="黑体" w:cs="Times New Roman"/>
          <w:color w:val="auto"/>
          <w:sz w:val="32"/>
          <w:szCs w:val="32"/>
        </w:rPr>
        <w:t>、收入决算情况说明</w:t>
      </w:r>
    </w:p>
    <w:p>
      <w:pPr>
        <w:pStyle w:val="8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82.45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72.35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87.75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10.10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12.25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8"/>
        <w:numPr>
          <w:ilvl w:val="0"/>
          <w:numId w:val="1"/>
        </w:numPr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支出决算情况说明</w:t>
      </w:r>
    </w:p>
    <w:p>
      <w:pPr>
        <w:pStyle w:val="8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80.41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94.43</w:t>
      </w:r>
      <w:r>
        <w:rPr>
          <w:rFonts w:hint="eastAsia" w:asciiTheme="minorEastAsia" w:hAnsiTheme="minorEastAsia" w:eastAsiaTheme="minorEastAsia"/>
          <w:sz w:val="32"/>
          <w:szCs w:val="32"/>
        </w:rPr>
        <w:t>%；项目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5.57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收支结余情况说明</w:t>
      </w:r>
    </w:p>
    <w:p>
      <w:pPr>
        <w:pStyle w:val="8"/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年，本单位年末结转和结余资金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</w:rPr>
        <w:t>万元，其中：基本</w:t>
      </w:r>
      <w:r>
        <w:rPr>
          <w:rFonts w:hint="eastAsia" w:ascii="仿宋_GB2312" w:hAnsi="仿宋_GB2312" w:eastAsia="仿宋_GB2312" w:cs="仿宋_GB2312"/>
          <w:sz w:val="32"/>
        </w:rPr>
        <w:t>支出结转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int="eastAsia" w:hAnsi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Ansi="黑体" w:cs="Times New Roman"/>
          <w:color w:val="auto"/>
          <w:sz w:val="32"/>
          <w:szCs w:val="32"/>
        </w:rPr>
        <w:t>关于</w:t>
      </w:r>
      <w:r>
        <w:rPr>
          <w:rFonts w:hint="eastAsia" w:hAnsi="黑体" w:cs="Times New Roman"/>
          <w:color w:val="auto"/>
          <w:sz w:val="32"/>
          <w:szCs w:val="32"/>
        </w:rPr>
        <w:t>202</w:t>
      </w:r>
      <w:r>
        <w:rPr>
          <w:rFonts w:hint="eastAsia" w:hAnsi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Ansi="黑体" w:cs="Times New Roman"/>
          <w:color w:val="auto"/>
          <w:sz w:val="32"/>
          <w:szCs w:val="32"/>
        </w:rPr>
        <w:t>年度预算绩效情况说明</w:t>
      </w:r>
    </w:p>
    <w:p>
      <w:pPr>
        <w:pStyle w:val="8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本部门整体支出和项目支出实行绩效目标管理，纳入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年部门整体支出绩效目标的金额为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43.66</w:t>
      </w:r>
      <w:r>
        <w:rPr>
          <w:rFonts w:hint="eastAsia" w:eastAsia="仿宋_GB2312" w:cs="仿宋_GB2312"/>
          <w:sz w:val="32"/>
          <w:szCs w:val="32"/>
        </w:rPr>
        <w:t>万元，其中，基本支出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34.06</w:t>
      </w:r>
      <w:r>
        <w:rPr>
          <w:rFonts w:hint="eastAsia" w:eastAsia="仿宋_GB2312" w:cs="仿宋_GB2312"/>
          <w:sz w:val="32"/>
          <w:szCs w:val="32"/>
        </w:rPr>
        <w:t>万元，项目支出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9.6</w:t>
      </w:r>
      <w:r>
        <w:rPr>
          <w:rFonts w:hint="eastAsia" w:eastAsia="仿宋_GB2312" w:cs="仿宋_GB2312"/>
          <w:sz w:val="32"/>
          <w:szCs w:val="32"/>
        </w:rPr>
        <w:t>万元。</w:t>
      </w:r>
    </w:p>
    <w:p>
      <w:pPr>
        <w:pStyle w:val="8"/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绩效完成情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况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1、农机推广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强化“农业的根本出路在于机械化”的强烈意识，采取有力措施推动机械化对农业生产各领域各环节全覆盖。二是强化责任意识，加强补贴监管，健全内控机制，不折不扣落实好补贴政策，确保资金足额发放到农户手中.今年农机购置补贴资金260万元、省补资金200万元。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2、农机监理工作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2021年新增上户农业机械14台，其中大中型拖拉机6台、小型拖拉机2台、联合收割机5台、农业工程机械1台，新增拖拉机驾驶员5人，联合收割机驾驶员1人，清理报废、灭失长期脱检拖拉机26台，牌证机具上户率达100%，并全部建立新的档案。省农机安全责任险投保91台拖拉机，保额4.5万元。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3、安全生产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区委区政府将农机安全生产工作纳入绩效考核内容，农机工作与政府安全生产目标管理、农业农村工作同部署同考核，与各乡镇政府签订了农机安全生产目标管理责任书，区农机事务中心与农机安全监理站及乡镇农机站，与机手签订了农机安全责任，农机安全生产责任细化到单位、到个人，严格落实“一岗双责”和责任倒查制度。二是在两乡一镇设立安全教育专栏，利用“安全生产百日行动”活动广泛下村入户开展农机安全生产警示教育宣传活动。在全年农用车年检的过程中，我们为所有年检车辆免费安装三向反光贴，并对放大号牌损污的重新喷漆，到12月6日止一共为检验合格的172台免费服务。三是深入推进“平安农机”创建活动。全年未发生一起安全生产责任事故。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4、大力推广新优农业机械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针对我区中央购机补贴额逐年下降的情况，事务中心认真分析原因，积极寻找对策。年初召开了各乡镇农机站长会议，认真学习了省、市文件，五次组织带领农机大户、种粮大户到长沙、娄底、武冈、邵东、双清区学习，参加新型机具演示会、湘博会，鼓励他们购买新型农机具，今年我区争取省中心和市农业农村局支持，成为大棚和连栋温室试点单位、水稻机插、机抛秧省级项目县区。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5、抓好机育插秧，推进水稻油菜生产全程机械化作业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我区罗市镇有水田1.3万亩，有机耕道70公里，给排水设施较完善。有农机专业合作社1个，拥有大中型拖拉机3台，收割机2台，烘干机2台，碾米组合机1台套，高速插秧机2台，抛秧机3台、育秧盘200000个，合作社已承包水田面积4000余亩。今年在我中心的支持下，建设一个占地1000平方米的育秧大棚，购买摧芽机一台，流水线2套，这样我区在机械化示范点实现了水稻育秧、插秧、抛秧、田间管理、收获、转运和烘干等6个环节的全程机械化作业。    </w:t>
      </w:r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6、抓好信访维稳工作，妥善处置遗留问题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由于2009年乡镇农机站改革，部分原农机站工作人员安置的问题没有得到妥善解决，他们不断在省、市、区上访。我中心根据领导的指示，组成专门的工作班子，深入乡镇办事处了解情况，主动接访上访人员并作好思想工作，与区信访局、区政府及有关乡镇、办事处制订上访人员的处置办法，引导上访人员走法律途径解决问题，现就唐红艳一人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问题正在协商中。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ind w:firstLine="640" w:firstLineChars="200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</w:rPr>
        <w:t>、评价结论及建议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（一）评价结论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综上所述，我单位在预算编制、预算执行、支出绩效方面，严格按照规定执行，合理安排支出，使财政资金发挥最大使用效益。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（二）存在问题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预算管理和财务管理有待加强，经费核算需进一步完善。在核算过程中部分支出难以区分支出范围，资金使用存在界限不清的现象。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（三）改进建议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1、细化预算编制工作，认真做好年初预算编制。进一步加强单位内部各股室的预算管理意识，严格按照预算编制的相关要求进行编制。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5"/>
        <w:widowControl/>
        <w:shd w:val="clear" w:color="auto" w:fill="FFFFFF"/>
        <w:spacing w:beforeAutospacing="0" w:after="150" w:afterAutospacing="0" w:line="450" w:lineRule="atLeas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　　3、加强对相关人员培训，特别是针对《预算法》、《政府会计制度》等方面学习培训，规范部门预算收支核算，切实提高部门预算收支管理水平。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C532"/>
    <w:multiLevelType w:val="singleLevel"/>
    <w:tmpl w:val="08BEC5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09B4F1"/>
    <w:multiLevelType w:val="singleLevel"/>
    <w:tmpl w:val="7109B4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3ODQ1OTk2NGFhMWY1NWFlZTIzZWYxY2VmZjM5NzEifQ=="/>
  </w:docVars>
  <w:rsids>
    <w:rsidRoot w:val="6DD74F2C"/>
    <w:rsid w:val="00105044"/>
    <w:rsid w:val="00BD37FF"/>
    <w:rsid w:val="01F13116"/>
    <w:rsid w:val="05E942B9"/>
    <w:rsid w:val="069307A2"/>
    <w:rsid w:val="0AA855AD"/>
    <w:rsid w:val="0F246568"/>
    <w:rsid w:val="120A3EDD"/>
    <w:rsid w:val="12825DFC"/>
    <w:rsid w:val="15361BB8"/>
    <w:rsid w:val="18233A1E"/>
    <w:rsid w:val="183C64CF"/>
    <w:rsid w:val="18A90973"/>
    <w:rsid w:val="1ED1339F"/>
    <w:rsid w:val="245C5C15"/>
    <w:rsid w:val="2E6308A0"/>
    <w:rsid w:val="359E5D0B"/>
    <w:rsid w:val="41501735"/>
    <w:rsid w:val="4B5E0DC1"/>
    <w:rsid w:val="55952B08"/>
    <w:rsid w:val="588C2AAA"/>
    <w:rsid w:val="5B1F051B"/>
    <w:rsid w:val="5BD91CEE"/>
    <w:rsid w:val="5C9B425A"/>
    <w:rsid w:val="5CBB62D9"/>
    <w:rsid w:val="5D8D6A5C"/>
    <w:rsid w:val="5E962855"/>
    <w:rsid w:val="5F464F3F"/>
    <w:rsid w:val="60425A7C"/>
    <w:rsid w:val="61C934F9"/>
    <w:rsid w:val="65427D6D"/>
    <w:rsid w:val="662C1F2C"/>
    <w:rsid w:val="665738AC"/>
    <w:rsid w:val="669319E0"/>
    <w:rsid w:val="6BFD557A"/>
    <w:rsid w:val="6D45711C"/>
    <w:rsid w:val="6DD74F2C"/>
    <w:rsid w:val="71BF446C"/>
    <w:rsid w:val="7429718F"/>
    <w:rsid w:val="77DB48FF"/>
    <w:rsid w:val="79461301"/>
    <w:rsid w:val="7B8F09D9"/>
    <w:rsid w:val="7DF45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1508</Words>
  <Characters>1599</Characters>
  <Lines>1</Lines>
  <Paragraphs>2</Paragraphs>
  <TotalTime>1</TotalTime>
  <ScaleCrop>false</ScaleCrop>
  <LinksUpToDate>false</LinksUpToDate>
  <CharactersWithSpaces>1616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Caffeine</cp:lastModifiedBy>
  <dcterms:modified xsi:type="dcterms:W3CDTF">2022-09-27T14:41:17Z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38A3963F4EC549D3BC8B711BDA7CF0FE</vt:lpwstr>
  </property>
</Properties>
</file>