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pPr>
      <w:r>
        <w:t>202</w:t>
      </w:r>
      <w:r>
        <w:rPr>
          <w:rFonts w:hint="eastAsia"/>
          <w:lang w:val="en-US" w:eastAsia="zh-CN"/>
        </w:rPr>
        <w:t>1</w:t>
      </w:r>
      <w:r>
        <w:t>年</w:t>
      </w:r>
      <w:r>
        <w:rPr>
          <w:rFonts w:hint="eastAsia"/>
          <w:lang w:val="en-US" w:eastAsia="zh-CN"/>
        </w:rPr>
        <w:t>邵阳市</w:t>
      </w:r>
      <w:r>
        <w:t>大祥区能源生态办公室</w:t>
      </w:r>
    </w:p>
    <w:p>
      <w:pPr>
        <w:pStyle w:val="4"/>
        <w:widowControl/>
        <w:jc w:val="center"/>
        <w:rPr>
          <w:rFonts w:hint="default"/>
          <w:kern w:val="0"/>
          <w:sz w:val="44"/>
          <w:szCs w:val="44"/>
        </w:rPr>
      </w:pPr>
      <w:r>
        <w:t>部门绩效评价报告</w:t>
      </w:r>
    </w:p>
    <w:p>
      <w:pPr>
        <w:widowControl/>
        <w:spacing w:line="600" w:lineRule="exact"/>
        <w:ind w:firstLine="643" w:firstLineChars="200"/>
        <w:jc w:val="left"/>
        <w:rPr>
          <w:rFonts w:eastAsia="仿宋_GB2312"/>
          <w:b/>
          <w:bCs/>
          <w:kern w:val="0"/>
          <w:sz w:val="32"/>
          <w:szCs w:val="32"/>
        </w:rPr>
      </w:pPr>
    </w:p>
    <w:p>
      <w:pPr>
        <w:widowControl/>
        <w:spacing w:line="60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rPr>
        <w:t>一、</w:t>
      </w:r>
      <w:r>
        <w:rPr>
          <w:rFonts w:hint="eastAsia" w:ascii="黑体" w:hAnsi="黑体" w:eastAsia="黑体" w:cs="黑体"/>
          <w:bCs/>
          <w:kern w:val="0"/>
          <w:sz w:val="32"/>
          <w:szCs w:val="32"/>
        </w:rPr>
        <w:t>能源办部门概况</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lang w:eastAsia="zh-CN"/>
        </w:rPr>
        <w:t>（</w:t>
      </w:r>
      <w:r>
        <w:rPr>
          <w:rFonts w:hint="eastAsia" w:ascii="黑体" w:hAnsi="黑体" w:eastAsia="黑体"/>
          <w:bCs/>
          <w:kern w:val="0"/>
          <w:sz w:val="32"/>
          <w:szCs w:val="32"/>
          <w:lang w:val="en-US" w:eastAsia="zh-CN"/>
        </w:rPr>
        <w:t>一）</w:t>
      </w:r>
      <w:r>
        <w:rPr>
          <w:rFonts w:hint="eastAsia" w:ascii="黑体" w:hAnsi="黑体" w:eastAsia="黑体"/>
          <w:bCs/>
          <w:kern w:val="0"/>
          <w:sz w:val="32"/>
          <w:szCs w:val="32"/>
        </w:rPr>
        <w:t>、部门职责</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邵阳市大祥区能源生态办公室为大祥区政府全额拨款的事业单位，负责全区负责全区能源事业的规划、开发、建设、管理，为开发利用全区可再生能源提供指导和服务。</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主要职责为：</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（1）贯彻执行农村能源开发利用节约有关法律、法规和政策；</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（2）组织开展农村能源资源调查与评价，编制农村能源发展规划；</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（3）指导、监督农村能源建设项目的实施；</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（4）组织开展农村能源科学技术普及、宣传教育、培训、职业技能鉴定、服务体系建设，以及国内外技术合作与交流；</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（5）组织开展农村能源技术、工艺、产品的试验、示范、推广；</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（6）会同有关部门对农村能源技术推广和产品质量进行监督管理。</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（7）承办区委、区政府交办的其他事项。</w:t>
      </w:r>
    </w:p>
    <w:p>
      <w:pPr>
        <w:widowControl/>
        <w:spacing w:line="62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（二）内设机构设置。</w:t>
      </w:r>
    </w:p>
    <w:p>
      <w:pPr>
        <w:widowControl/>
        <w:spacing w:line="6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shd w:val="clear" w:color="auto" w:fill="FFFFFF"/>
        </w:rPr>
        <w:t>邵阳市大祥区能源生态办公室为大祥区农业农村局二级机构，内设办公室。</w:t>
      </w:r>
    </w:p>
    <w:p>
      <w:pPr>
        <w:ind w:firstLine="640" w:firstLineChars="200"/>
        <w:rPr>
          <w:rFonts w:ascii="黑体" w:hAnsi="黑体" w:eastAsia="黑体"/>
          <w:sz w:val="32"/>
          <w:szCs w:val="32"/>
        </w:rPr>
      </w:pPr>
      <w:r>
        <w:rPr>
          <w:rFonts w:hint="eastAsia" w:ascii="黑体" w:hAnsi="黑体" w:eastAsia="黑体"/>
          <w:sz w:val="32"/>
          <w:szCs w:val="32"/>
        </w:rPr>
        <w:t>二、财务收支情况说明</w:t>
      </w:r>
    </w:p>
    <w:p>
      <w:pPr>
        <w:pStyle w:val="10"/>
        <w:spacing w:line="600" w:lineRule="exact"/>
        <w:ind w:firstLine="640" w:firstLineChars="200"/>
        <w:rPr>
          <w:rFonts w:hAnsi="黑体" w:cs="Times New Roman"/>
          <w:color w:val="auto"/>
          <w:sz w:val="32"/>
          <w:szCs w:val="32"/>
        </w:rPr>
      </w:pPr>
      <w:r>
        <w:rPr>
          <w:rFonts w:hint="eastAsia" w:hAnsi="黑体" w:cs="Times New Roman"/>
          <w:color w:val="auto"/>
          <w:sz w:val="32"/>
          <w:szCs w:val="32"/>
        </w:rPr>
        <w:t>1</w:t>
      </w:r>
      <w:r>
        <w:rPr>
          <w:rFonts w:hAnsi="黑体" w:cs="Times New Roman"/>
          <w:color w:val="auto"/>
          <w:sz w:val="32"/>
          <w:szCs w:val="32"/>
        </w:rPr>
        <w:t>、收入决算情况说明</w:t>
      </w:r>
    </w:p>
    <w:p>
      <w:pPr>
        <w:pStyle w:val="10"/>
        <w:numPr>
          <w:numId w:val="0"/>
        </w:numPr>
        <w:spacing w:line="600" w:lineRule="exact"/>
        <w:ind w:firstLine="640" w:firstLineChars="200"/>
        <w:rPr>
          <w:rFonts w:hAnsi="黑体" w:cs="Times New Roman"/>
          <w:color w:val="auto"/>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160.64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89.86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55.94</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70.78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44.06</w:t>
      </w:r>
      <w:r>
        <w:rPr>
          <w:rFonts w:hint="eastAsia" w:asciiTheme="minorEastAsia" w:hAnsiTheme="minorEastAsia" w:eastAsiaTheme="minorEastAsia"/>
          <w:sz w:val="32"/>
          <w:szCs w:val="32"/>
        </w:rPr>
        <w:t>%。</w:t>
      </w:r>
    </w:p>
    <w:p>
      <w:pPr>
        <w:pStyle w:val="10"/>
        <w:numPr>
          <w:ilvl w:val="0"/>
          <w:numId w:val="1"/>
        </w:numPr>
        <w:spacing w:line="600" w:lineRule="exact"/>
        <w:ind w:firstLine="640" w:firstLineChars="200"/>
        <w:rPr>
          <w:rFonts w:hAnsi="黑体" w:cs="Times New Roman"/>
          <w:color w:val="auto"/>
          <w:sz w:val="32"/>
          <w:szCs w:val="32"/>
        </w:rPr>
      </w:pPr>
      <w:r>
        <w:rPr>
          <w:rFonts w:hAnsi="黑体" w:cs="Times New Roman"/>
          <w:color w:val="auto"/>
          <w:sz w:val="32"/>
          <w:szCs w:val="32"/>
        </w:rPr>
        <w:t>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164.97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104.71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63.47</w:t>
      </w:r>
      <w:r>
        <w:rPr>
          <w:rFonts w:hint="eastAsia" w:asciiTheme="minorEastAsia" w:hAnsiTheme="minorEastAsia" w:eastAsiaTheme="minorEastAsia"/>
          <w:sz w:val="32"/>
          <w:szCs w:val="32"/>
        </w:rPr>
        <w:t>%；项目</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60.26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36.53</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spacing w:line="600" w:lineRule="exact"/>
        <w:ind w:firstLine="320" w:firstLineChars="1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3、收支结余情况说明</w:t>
      </w:r>
    </w:p>
    <w:p>
      <w:pPr>
        <w:pStyle w:val="10"/>
        <w:spacing w:line="60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rPr>
        <w:t>202</w:t>
      </w:r>
      <w:r>
        <w:rPr>
          <w:rFonts w:hint="eastAsia" w:asciiTheme="minorEastAsia" w:hAnsiTheme="minorEastAsia" w:eastAsiaTheme="minorEastAsia" w:cstheme="minorEastAsia"/>
          <w:sz w:val="32"/>
          <w:lang w:val="en-US" w:eastAsia="zh-CN"/>
        </w:rPr>
        <w:t>1</w:t>
      </w:r>
      <w:r>
        <w:rPr>
          <w:rFonts w:hint="eastAsia" w:asciiTheme="minorEastAsia" w:hAnsiTheme="minorEastAsia" w:eastAsiaTheme="minorEastAsia" w:cstheme="minorEastAsia"/>
          <w:sz w:val="32"/>
        </w:rPr>
        <w:t>年，本单位年末结转和结余资金</w:t>
      </w:r>
      <w:r>
        <w:rPr>
          <w:rFonts w:hint="eastAsia" w:asciiTheme="minorEastAsia" w:hAnsiTheme="minorEastAsia" w:eastAsiaTheme="minorEastAsia" w:cstheme="minorEastAsia"/>
          <w:sz w:val="32"/>
          <w:lang w:val="en-US" w:eastAsia="zh-CN"/>
        </w:rPr>
        <w:t>0</w:t>
      </w:r>
      <w:r>
        <w:rPr>
          <w:rFonts w:hint="eastAsia" w:asciiTheme="minorEastAsia" w:hAnsiTheme="minorEastAsia" w:eastAsiaTheme="minorEastAsia" w:cstheme="minorEastAsia"/>
          <w:sz w:val="32"/>
        </w:rPr>
        <w:t>万元，其中：基本支出结转</w:t>
      </w:r>
      <w:r>
        <w:rPr>
          <w:rFonts w:hint="eastAsia" w:asciiTheme="minorEastAsia" w:hAnsiTheme="minorEastAsia" w:eastAsiaTheme="minorEastAsia" w:cstheme="minorEastAsia"/>
          <w:sz w:val="32"/>
          <w:lang w:val="en-US" w:eastAsia="zh-CN"/>
        </w:rPr>
        <w:t>0</w:t>
      </w:r>
      <w:r>
        <w:rPr>
          <w:rFonts w:hint="eastAsia" w:asciiTheme="minorEastAsia" w:hAnsiTheme="minorEastAsia" w:eastAsiaTheme="minorEastAsia" w:cstheme="minorEastAsia"/>
          <w:sz w:val="32"/>
        </w:rPr>
        <w:t>万元，项目结转</w:t>
      </w:r>
      <w:r>
        <w:rPr>
          <w:rFonts w:hint="eastAsia" w:asciiTheme="minorEastAsia" w:hAnsiTheme="minorEastAsia" w:eastAsiaTheme="minorEastAsia" w:cstheme="minorEastAsia"/>
          <w:sz w:val="32"/>
          <w:lang w:val="en-US" w:eastAsia="zh-CN"/>
        </w:rPr>
        <w:t>0</w:t>
      </w:r>
      <w:r>
        <w:rPr>
          <w:rFonts w:hint="eastAsia" w:asciiTheme="minorEastAsia" w:hAnsiTheme="minorEastAsia" w:eastAsiaTheme="minorEastAsia" w:cstheme="minorEastAsia"/>
          <w:sz w:val="32"/>
        </w:rPr>
        <w:t>万元</w:t>
      </w:r>
    </w:p>
    <w:p>
      <w:pPr>
        <w:pStyle w:val="10"/>
        <w:numPr>
          <w:ilvl w:val="0"/>
          <w:numId w:val="0"/>
        </w:numPr>
        <w:spacing w:line="600" w:lineRule="exact"/>
        <w:ind w:firstLine="640" w:firstLineChars="200"/>
        <w:rPr>
          <w:rFonts w:hAnsi="黑体" w:cs="Times New Roman"/>
          <w:color w:val="auto"/>
          <w:sz w:val="32"/>
          <w:szCs w:val="32"/>
        </w:rPr>
      </w:pPr>
      <w:r>
        <w:rPr>
          <w:rFonts w:hint="eastAsia" w:hAnsi="黑体" w:cs="Times New Roman"/>
          <w:color w:val="auto"/>
          <w:sz w:val="32"/>
          <w:szCs w:val="32"/>
          <w:lang w:val="en-US" w:eastAsia="zh-CN"/>
        </w:rPr>
        <w:t>三、</w:t>
      </w:r>
      <w:r>
        <w:rPr>
          <w:rFonts w:hAnsi="黑体" w:cs="Times New Roman"/>
          <w:color w:val="auto"/>
          <w:sz w:val="32"/>
          <w:szCs w:val="32"/>
        </w:rPr>
        <w:t>关于</w:t>
      </w:r>
      <w:r>
        <w:rPr>
          <w:rFonts w:hint="eastAsia" w:hAnsi="黑体" w:cs="Times New Roman"/>
          <w:color w:val="auto"/>
          <w:sz w:val="32"/>
          <w:szCs w:val="32"/>
        </w:rPr>
        <w:t>202</w:t>
      </w:r>
      <w:r>
        <w:rPr>
          <w:rFonts w:hint="eastAsia" w:hAnsi="黑体" w:cs="Times New Roman"/>
          <w:color w:val="auto"/>
          <w:sz w:val="32"/>
          <w:szCs w:val="32"/>
          <w:lang w:val="en-US" w:eastAsia="zh-CN"/>
        </w:rPr>
        <w:t>1</w:t>
      </w:r>
      <w:r>
        <w:rPr>
          <w:rFonts w:hAnsi="黑体" w:cs="Times New Roman"/>
          <w:color w:val="auto"/>
          <w:sz w:val="32"/>
          <w:szCs w:val="32"/>
        </w:rPr>
        <w:t>年度预算绩效情况说明</w:t>
      </w:r>
    </w:p>
    <w:p>
      <w:pPr>
        <w:pStyle w:val="10"/>
        <w:spacing w:line="600" w:lineRule="exact"/>
        <w:ind w:firstLine="640" w:firstLineChars="200"/>
        <w:rPr>
          <w:rFonts w:hAnsi="黑体" w:cs="Times New Roman"/>
          <w:color w:val="auto"/>
          <w:sz w:val="32"/>
          <w:szCs w:val="32"/>
        </w:rPr>
      </w:pPr>
      <w:r>
        <w:rPr>
          <w:rFonts w:hint="eastAsia" w:eastAsia="仿宋_GB2312" w:cs="仿宋_GB2312"/>
          <w:sz w:val="32"/>
          <w:szCs w:val="32"/>
        </w:rPr>
        <w:t>本部门整体支出和项目支出实行绩效目标管理，纳入</w:t>
      </w:r>
      <w:r>
        <w:rPr>
          <w:rFonts w:eastAsia="仿宋_GB2312"/>
          <w:sz w:val="32"/>
          <w:szCs w:val="32"/>
        </w:rPr>
        <w:t>202</w:t>
      </w:r>
      <w:r>
        <w:rPr>
          <w:rFonts w:hint="eastAsia" w:eastAsia="仿宋_GB2312"/>
          <w:sz w:val="32"/>
          <w:szCs w:val="32"/>
          <w:lang w:val="en-US" w:eastAsia="zh-CN"/>
        </w:rPr>
        <w:t>1</w:t>
      </w:r>
      <w:r>
        <w:rPr>
          <w:rFonts w:hint="eastAsia" w:eastAsia="仿宋_GB2312" w:cs="仿宋_GB2312"/>
          <w:sz w:val="32"/>
          <w:szCs w:val="32"/>
        </w:rPr>
        <w:t>年部门整体支出绩效目标</w:t>
      </w:r>
      <w:bookmarkStart w:id="0" w:name="_GoBack"/>
      <w:bookmarkEnd w:id="0"/>
      <w:r>
        <w:rPr>
          <w:rFonts w:hint="eastAsia" w:eastAsia="仿宋_GB2312" w:cs="仿宋_GB2312"/>
          <w:sz w:val="32"/>
          <w:szCs w:val="32"/>
        </w:rPr>
        <w:t>的金额为</w:t>
      </w:r>
      <w:r>
        <w:rPr>
          <w:rFonts w:hint="eastAsia" w:ascii="Times New Roman" w:hAnsi="Times New Roman" w:eastAsia="仿宋_GB2312" w:cs="Times New Roman"/>
          <w:color w:val="auto"/>
          <w:sz w:val="32"/>
          <w:szCs w:val="32"/>
          <w:u w:val="none"/>
          <w:lang w:val="en-US" w:eastAsia="zh-CN"/>
        </w:rPr>
        <w:t>17.13</w:t>
      </w:r>
      <w:r>
        <w:rPr>
          <w:rFonts w:hint="eastAsia" w:eastAsia="仿宋_GB2312" w:cs="仿宋_GB2312"/>
          <w:sz w:val="32"/>
          <w:szCs w:val="32"/>
        </w:rPr>
        <w:t>万元，其中，基本支出</w:t>
      </w:r>
      <w:r>
        <w:rPr>
          <w:rFonts w:hint="eastAsia" w:ascii="Times New Roman" w:hAnsi="Times New Roman" w:eastAsia="仿宋_GB2312" w:cs="Times New Roman"/>
          <w:color w:val="auto"/>
          <w:sz w:val="32"/>
          <w:szCs w:val="32"/>
          <w:u w:val="none"/>
          <w:lang w:val="en-US" w:eastAsia="zh-CN"/>
        </w:rPr>
        <w:t>12.63</w:t>
      </w:r>
      <w:r>
        <w:rPr>
          <w:rFonts w:hint="eastAsia" w:eastAsia="仿宋_GB2312" w:cs="仿宋_GB2312"/>
          <w:sz w:val="32"/>
          <w:szCs w:val="32"/>
        </w:rPr>
        <w:t>万元，项目支出</w:t>
      </w:r>
      <w:r>
        <w:rPr>
          <w:rFonts w:hint="eastAsia" w:ascii="Times New Roman" w:hAnsi="Times New Roman" w:eastAsia="仿宋_GB2312" w:cs="Times New Roman"/>
          <w:color w:val="auto"/>
          <w:sz w:val="32"/>
          <w:szCs w:val="32"/>
          <w:u w:val="none"/>
          <w:lang w:val="en-US" w:eastAsia="zh-CN"/>
        </w:rPr>
        <w:t>4.5</w:t>
      </w:r>
      <w:r>
        <w:rPr>
          <w:rFonts w:hint="eastAsia" w:eastAsia="仿宋_GB2312" w:cs="仿宋_GB2312"/>
          <w:sz w:val="32"/>
          <w:szCs w:val="32"/>
        </w:rPr>
        <w:t>万元。</w:t>
      </w:r>
    </w:p>
    <w:p>
      <w:pPr>
        <w:pStyle w:val="10"/>
        <w:spacing w:line="600" w:lineRule="exact"/>
        <w:ind w:firstLine="640" w:firstLineChars="200"/>
        <w:rPr>
          <w:rFonts w:hint="eastAsia" w:ascii="黑体" w:hAnsi="黑体" w:eastAsia="黑体" w:cs="黑体"/>
          <w:b/>
          <w:bCs/>
          <w:color w:val="auto"/>
          <w:sz w:val="32"/>
          <w:szCs w:val="32"/>
        </w:rPr>
      </w:pPr>
      <w:r>
        <w:rPr>
          <w:rFonts w:hint="eastAsia" w:ascii="黑体" w:hAnsi="黑体" w:eastAsia="黑体" w:cs="黑体"/>
          <w:b w:val="0"/>
          <w:bCs w:val="0"/>
          <w:color w:val="auto"/>
          <w:sz w:val="32"/>
          <w:szCs w:val="32"/>
          <w:shd w:val="clear" w:color="auto" w:fill="FFFFFF"/>
        </w:rPr>
        <w:t>四、绩效完成情</w:t>
      </w:r>
      <w:r>
        <w:rPr>
          <w:rFonts w:hint="eastAsia" w:ascii="黑体" w:hAnsi="黑体" w:eastAsia="黑体" w:cs="黑体"/>
          <w:b/>
          <w:bCs/>
          <w:color w:val="auto"/>
          <w:sz w:val="32"/>
          <w:szCs w:val="32"/>
          <w:shd w:val="clear" w:color="auto" w:fill="FFFFFF"/>
        </w:rPr>
        <w:t>况</w:t>
      </w:r>
    </w:p>
    <w:p>
      <w:pPr>
        <w:numPr>
          <w:ilvl w:val="0"/>
          <w:numId w:val="0"/>
        </w:numPr>
        <w:ind w:firstLine="683" w:firstLineChars="200"/>
        <w:jc w:val="left"/>
        <w:rPr>
          <w:rFonts w:hint="eastAsia" w:asciiTheme="minorEastAsia" w:hAnsiTheme="minorEastAsia" w:eastAsiaTheme="minorEastAsia" w:cstheme="minorEastAsia"/>
          <w:b/>
          <w:bCs/>
          <w:spacing w:val="10"/>
          <w:sz w:val="32"/>
          <w:szCs w:val="32"/>
          <w:lang w:val="en-US" w:eastAsia="zh-CN"/>
        </w:rPr>
      </w:pPr>
      <w:r>
        <w:rPr>
          <w:rFonts w:hint="eastAsia" w:asciiTheme="minorEastAsia" w:hAnsiTheme="minorEastAsia" w:eastAsiaTheme="minorEastAsia" w:cstheme="minorEastAsia"/>
          <w:b/>
          <w:bCs/>
          <w:spacing w:val="10"/>
          <w:sz w:val="32"/>
          <w:szCs w:val="32"/>
          <w:lang w:val="en-US" w:eastAsia="zh-CN"/>
        </w:rPr>
        <w:t>（一）维护我区公平有序的种业发展环境，促进种业持续、健康发展</w:t>
      </w:r>
    </w:p>
    <w:p>
      <w:pPr>
        <w:numPr>
          <w:ilvl w:val="0"/>
          <w:numId w:val="0"/>
        </w:numPr>
        <w:ind w:firstLine="68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0"/>
          <w:sz w:val="32"/>
          <w:szCs w:val="32"/>
        </w:rPr>
        <w:t>按照打造种业高地、提升监管能力</w:t>
      </w:r>
      <w:r>
        <w:rPr>
          <w:rFonts w:hint="eastAsia" w:asciiTheme="minorEastAsia" w:hAnsiTheme="minorEastAsia" w:eastAsiaTheme="minorEastAsia" w:cstheme="minorEastAsia"/>
          <w:spacing w:val="10"/>
          <w:sz w:val="32"/>
          <w:szCs w:val="32"/>
          <w:lang w:eastAsia="zh-CN"/>
        </w:rPr>
        <w:t>，</w:t>
      </w:r>
      <w:r>
        <w:rPr>
          <w:rFonts w:hint="eastAsia" w:asciiTheme="minorEastAsia" w:hAnsiTheme="minorEastAsia" w:eastAsiaTheme="minorEastAsia" w:cstheme="minorEastAsia"/>
          <w:spacing w:val="10"/>
          <w:sz w:val="32"/>
          <w:szCs w:val="32"/>
        </w:rPr>
        <w:t>保障农业用种安全，</w:t>
      </w:r>
      <w:r>
        <w:rPr>
          <w:rFonts w:hint="eastAsia" w:asciiTheme="minorEastAsia" w:hAnsiTheme="minorEastAsia" w:eastAsiaTheme="minorEastAsia" w:cstheme="minorEastAsia"/>
          <w:spacing w:val="9"/>
          <w:sz w:val="32"/>
          <w:szCs w:val="32"/>
        </w:rPr>
        <w:t>维护种子生产经营者</w:t>
      </w:r>
      <w:r>
        <w:rPr>
          <w:rFonts w:hint="eastAsia" w:asciiTheme="minorEastAsia" w:hAnsiTheme="minorEastAsia" w:eastAsiaTheme="minorEastAsia" w:cstheme="minorEastAsia"/>
          <w:spacing w:val="9"/>
          <w:sz w:val="32"/>
          <w:szCs w:val="32"/>
          <w:lang w:eastAsia="zh-CN"/>
        </w:rPr>
        <w:t>、</w:t>
      </w:r>
      <w:r>
        <w:rPr>
          <w:rFonts w:hint="eastAsia" w:asciiTheme="minorEastAsia" w:hAnsiTheme="minorEastAsia" w:eastAsiaTheme="minorEastAsia" w:cstheme="minorEastAsia"/>
          <w:spacing w:val="9"/>
          <w:sz w:val="32"/>
          <w:szCs w:val="32"/>
        </w:rPr>
        <w:t>使用者合法权益的要求</w:t>
      </w:r>
      <w:r>
        <w:rPr>
          <w:rFonts w:hint="eastAsia" w:asciiTheme="minorEastAsia" w:hAnsiTheme="minorEastAsia" w:eastAsiaTheme="minorEastAsia" w:cstheme="minorEastAsia"/>
          <w:spacing w:val="9"/>
          <w:sz w:val="32"/>
          <w:szCs w:val="32"/>
          <w:lang w:eastAsia="zh-CN"/>
        </w:rPr>
        <w:t>，</w:t>
      </w:r>
      <w:r>
        <w:rPr>
          <w:rFonts w:hint="eastAsia" w:asciiTheme="minorEastAsia" w:hAnsiTheme="minorEastAsia" w:eastAsiaTheme="minorEastAsia" w:cstheme="minorEastAsia"/>
          <w:spacing w:val="9"/>
          <w:sz w:val="32"/>
          <w:szCs w:val="32"/>
        </w:rPr>
        <w:t>围绕构建统一</w:t>
      </w:r>
      <w:r>
        <w:rPr>
          <w:rFonts w:hint="eastAsia" w:asciiTheme="minorEastAsia" w:hAnsiTheme="minorEastAsia" w:eastAsiaTheme="minorEastAsia" w:cstheme="minorEastAsia"/>
          <w:spacing w:val="11"/>
          <w:sz w:val="32"/>
          <w:szCs w:val="32"/>
        </w:rPr>
        <w:t>开放</w:t>
      </w:r>
      <w:r>
        <w:rPr>
          <w:rFonts w:hint="eastAsia" w:asciiTheme="minorEastAsia" w:hAnsiTheme="minorEastAsia" w:eastAsiaTheme="minorEastAsia" w:cstheme="minorEastAsia"/>
          <w:spacing w:val="11"/>
          <w:sz w:val="32"/>
          <w:szCs w:val="32"/>
          <w:lang w:eastAsia="zh-CN"/>
        </w:rPr>
        <w:t>、</w:t>
      </w:r>
      <w:r>
        <w:rPr>
          <w:rFonts w:hint="eastAsia" w:asciiTheme="minorEastAsia" w:hAnsiTheme="minorEastAsia" w:eastAsiaTheme="minorEastAsia" w:cstheme="minorEastAsia"/>
          <w:spacing w:val="11"/>
          <w:sz w:val="32"/>
          <w:szCs w:val="32"/>
        </w:rPr>
        <w:t>竞争有序、诚信守法</w:t>
      </w:r>
      <w:r>
        <w:rPr>
          <w:rFonts w:hint="eastAsia" w:asciiTheme="minorEastAsia" w:hAnsiTheme="minorEastAsia" w:eastAsiaTheme="minorEastAsia" w:cstheme="minorEastAsia"/>
          <w:spacing w:val="11"/>
          <w:sz w:val="32"/>
          <w:szCs w:val="32"/>
          <w:lang w:eastAsia="zh-CN"/>
        </w:rPr>
        <w:t>、</w:t>
      </w:r>
      <w:r>
        <w:rPr>
          <w:rFonts w:hint="eastAsia" w:asciiTheme="minorEastAsia" w:hAnsiTheme="minorEastAsia" w:eastAsiaTheme="minorEastAsia" w:cstheme="minorEastAsia"/>
          <w:spacing w:val="11"/>
          <w:sz w:val="32"/>
          <w:szCs w:val="32"/>
        </w:rPr>
        <w:t>监管有力的现代种业市场体系</w:t>
      </w:r>
      <w:r>
        <w:rPr>
          <w:rFonts w:hint="eastAsia" w:asciiTheme="minorEastAsia" w:hAnsiTheme="minorEastAsia" w:eastAsiaTheme="minorEastAsia" w:cstheme="minorEastAsia"/>
          <w:spacing w:val="11"/>
          <w:sz w:val="32"/>
          <w:szCs w:val="32"/>
          <w:lang w:eastAsia="zh-CN"/>
        </w:rPr>
        <w:t>，</w:t>
      </w:r>
      <w:r>
        <w:rPr>
          <w:rFonts w:hint="eastAsia" w:asciiTheme="minorEastAsia" w:hAnsiTheme="minorEastAsia" w:eastAsiaTheme="minorEastAsia" w:cstheme="minorEastAsia"/>
          <w:spacing w:val="7"/>
          <w:sz w:val="32"/>
          <w:szCs w:val="32"/>
        </w:rPr>
        <w:t>不断强化种子试验、生产、经营、使用各环节监管</w:t>
      </w:r>
      <w:r>
        <w:rPr>
          <w:rFonts w:hint="eastAsia" w:asciiTheme="minorEastAsia" w:hAnsiTheme="minorEastAsia" w:eastAsiaTheme="minorEastAsia" w:cstheme="minorEastAsia"/>
          <w:spacing w:val="7"/>
          <w:sz w:val="32"/>
          <w:szCs w:val="32"/>
          <w:lang w:eastAsia="zh-CN"/>
        </w:rPr>
        <w:t>。本次</w:t>
      </w:r>
      <w:r>
        <w:rPr>
          <w:rFonts w:hint="eastAsia" w:asciiTheme="minorEastAsia" w:hAnsiTheme="minorEastAsia" w:eastAsiaTheme="minorEastAsia" w:cstheme="minorEastAsia"/>
          <w:spacing w:val="7"/>
          <w:sz w:val="32"/>
          <w:szCs w:val="32"/>
          <w:lang w:val="en-US" w:eastAsia="zh-CN"/>
        </w:rPr>
        <w:t>农作物种业市场监管抽查工作</w:t>
      </w:r>
      <w:r>
        <w:rPr>
          <w:rFonts w:hint="eastAsia" w:asciiTheme="minorEastAsia" w:hAnsiTheme="minorEastAsia" w:eastAsiaTheme="minorEastAsia" w:cstheme="minorEastAsia"/>
          <w:spacing w:val="7"/>
          <w:sz w:val="32"/>
          <w:szCs w:val="32"/>
        </w:rPr>
        <w:t>有效遏制无证生产经营</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套牌侵权</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制售假劣</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未审先推</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跨区域季节推广</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非法生产经营转基因种子等违法行为的发生</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形成有利于创业创新、诚信</w:t>
      </w:r>
      <w:r>
        <w:rPr>
          <w:rFonts w:hint="eastAsia" w:asciiTheme="minorEastAsia" w:hAnsiTheme="minorEastAsia" w:eastAsiaTheme="minorEastAsia" w:cstheme="minorEastAsia"/>
          <w:sz w:val="32"/>
          <w:szCs w:val="32"/>
        </w:rPr>
        <w:t>守信、公平公正的市场环境，推进我区种业市场秩序持续好转。</w:t>
      </w:r>
    </w:p>
    <w:p>
      <w:pPr>
        <w:numPr>
          <w:ilvl w:val="0"/>
          <w:numId w:val="0"/>
        </w:numPr>
        <w:ind w:firstLine="643"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（二）持续推进受污染耕地安全利用和风险管控工作，巩固提升受污染耕地安全利用水平</w:t>
      </w:r>
    </w:p>
    <w:p>
      <w:pPr>
        <w:numPr>
          <w:ilvl w:val="0"/>
          <w:numId w:val="0"/>
        </w:numPr>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auto"/>
          <w:sz w:val="32"/>
          <w:szCs w:val="32"/>
          <w:lang w:val="en-US" w:eastAsia="zh-CN"/>
        </w:rPr>
        <w:t>到2021年底前，全区完成总计2.15万亩治理任务，治理后全区受污染耕地安全利用率达到90%以上。其中安全利用类受污染耕地治理任务2.13万亩，</w:t>
      </w:r>
      <w:r>
        <w:rPr>
          <w:rFonts w:hint="eastAsia" w:asciiTheme="minorEastAsia" w:hAnsiTheme="minorEastAsia" w:eastAsiaTheme="minorEastAsia" w:cstheme="minorEastAsia"/>
          <w:sz w:val="32"/>
          <w:szCs w:val="32"/>
          <w:lang w:val="en-US" w:eastAsia="zh-CN"/>
        </w:rPr>
        <w:t>涉及城南、板桥、蔡锷、罗市、学院路、雨溪6个乡镇（街道）；</w:t>
      </w:r>
      <w:r>
        <w:rPr>
          <w:rFonts w:hint="eastAsia" w:asciiTheme="minorEastAsia" w:hAnsiTheme="minorEastAsia" w:eastAsiaTheme="minorEastAsia" w:cstheme="minorEastAsia"/>
          <w:color w:val="auto"/>
          <w:sz w:val="32"/>
          <w:szCs w:val="32"/>
          <w:lang w:val="en-US" w:eastAsia="zh-CN"/>
        </w:rPr>
        <w:t>严格管控类受污染耕地治理任务0.02万亩，</w:t>
      </w:r>
      <w:r>
        <w:rPr>
          <w:rFonts w:hint="eastAsia" w:asciiTheme="minorEastAsia" w:hAnsiTheme="minorEastAsia" w:eastAsiaTheme="minorEastAsia" w:cstheme="minorEastAsia"/>
          <w:sz w:val="32"/>
          <w:szCs w:val="32"/>
          <w:lang w:val="en-US" w:eastAsia="zh-CN"/>
        </w:rPr>
        <w:t>涉及学院路、板桥、蔡锷、雨溪4个乡镇（街道）。各乡镇（街道）已完成受污染耕地安全利用类与严格管控类工作台账的建立和受污染耕地安全利用入户调查资料的造档成册，落实了喷施叶面阻控剂、水分优化管理、科学施肥、深翻耕、施用石灰等技术措施，并配合全区完成了受污染耕地农产品检测采样工作。我区严格管控区域也已全面退出水稻种植，乡镇（街道）对各农户种植结构调整进行指导。</w:t>
      </w:r>
    </w:p>
    <w:p>
      <w:pPr>
        <w:numPr>
          <w:ilvl w:val="0"/>
          <w:numId w:val="0"/>
        </w:numPr>
        <w:ind w:firstLine="643" w:firstLineChars="200"/>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（三）学习贯彻习近平总书记关于“镉大米”事件重要批示精神，严格管控类受污染耕地得到有效管控</w:t>
      </w:r>
    </w:p>
    <w:p>
      <w:pPr>
        <w:pStyle w:val="2"/>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深入学习贯彻习近平总书记关于“镉大米”事件重要批示精神，严格落实属地管理责任，完善部门协同推进机制和联席会议制度，密切协作配合，增强工作合力。深入推进涉镉等重金属重点行业企业排查整治，打击非法排污；推进受污染耕地污染成因排查分析，切断重金属污染物进入耕地的途径，防止新增土壤污染。按照省市统一部署，积极配合开展受污染耕地治理修复。加强严格管控类耕地管控，指导种植户开展种植结构调整，2021年12月31日前全面退出水稻生产。建立区、乡、村三级监管机制，严格管控区每个丘块责任到人，防止严格管控类耕地种植水稻。</w:t>
      </w:r>
    </w:p>
    <w:p>
      <w:pPr>
        <w:pStyle w:val="2"/>
        <w:ind w:left="0" w:leftChars="0"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（四）完成</w:t>
      </w:r>
      <w:r>
        <w:rPr>
          <w:rFonts w:hint="eastAsia" w:asciiTheme="minorEastAsia" w:hAnsiTheme="minorEastAsia" w:eastAsiaTheme="minorEastAsia" w:cstheme="minorEastAsia"/>
          <w:b/>
          <w:bCs/>
          <w:sz w:val="32"/>
          <w:szCs w:val="32"/>
        </w:rPr>
        <w:t>外来有害生物加拿大一枝黄花</w:t>
      </w:r>
      <w:r>
        <w:rPr>
          <w:rFonts w:hint="eastAsia" w:asciiTheme="minorEastAsia" w:hAnsiTheme="minorEastAsia" w:eastAsiaTheme="minorEastAsia" w:cstheme="minorEastAsia"/>
          <w:b/>
          <w:bCs/>
          <w:sz w:val="32"/>
          <w:szCs w:val="32"/>
          <w:lang w:eastAsia="zh-CN"/>
        </w:rPr>
        <w:t>的除治作业</w:t>
      </w:r>
      <w:r>
        <w:rPr>
          <w:rFonts w:hint="eastAsia" w:asciiTheme="minorEastAsia" w:hAnsiTheme="minorEastAsia" w:eastAsiaTheme="minorEastAsia" w:cstheme="minorEastAsia"/>
          <w:b/>
          <w:bCs/>
          <w:sz w:val="32"/>
          <w:szCs w:val="32"/>
        </w:rPr>
        <w:t>，维护地区生物多样性，推进生态文明建设</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caps w:val="0"/>
          <w:color w:val="auto"/>
          <w:spacing w:val="0"/>
          <w:kern w:val="0"/>
          <w:sz w:val="32"/>
          <w:szCs w:val="32"/>
          <w:highlight w:val="none"/>
          <w:shd w:val="clear" w:color="auto" w:fill="FFFFFF"/>
          <w:lang w:val="en-US" w:eastAsia="zh-CN" w:bidi="ar-SA"/>
        </w:rPr>
        <w:t>迅速组织力量开展对全区范围内加拿大一枝黄花进行摸排，经发现在罗市镇、蔡锷乡、板桥乡、城南街道、檀江街道、学院路街道、雨溪街道等7个乡镇（街道）均有分布加拿大一枝黄花，发生面积约为2400亩。</w:t>
      </w:r>
      <w:r>
        <w:rPr>
          <w:rFonts w:hint="eastAsia" w:asciiTheme="minorEastAsia" w:hAnsiTheme="minorEastAsia" w:eastAsiaTheme="minorEastAsia" w:cstheme="minorEastAsia"/>
          <w:kern w:val="32"/>
          <w:sz w:val="32"/>
          <w:szCs w:val="32"/>
          <w:lang w:val="en-US" w:eastAsia="zh-CN"/>
        </w:rPr>
        <w:t>对</w:t>
      </w:r>
      <w:r>
        <w:rPr>
          <w:rFonts w:hint="eastAsia" w:asciiTheme="minorEastAsia" w:hAnsiTheme="minorEastAsia" w:eastAsiaTheme="minorEastAsia" w:cstheme="minorEastAsia"/>
          <w:sz w:val="32"/>
          <w:szCs w:val="32"/>
        </w:rPr>
        <w:t>全区范围内的</w:t>
      </w:r>
      <w:r>
        <w:rPr>
          <w:rFonts w:hint="eastAsia" w:asciiTheme="minorEastAsia" w:hAnsiTheme="minorEastAsia" w:eastAsiaTheme="minorEastAsia" w:cstheme="minorEastAsia"/>
          <w:i w:val="0"/>
          <w:caps w:val="0"/>
          <w:color w:val="auto"/>
          <w:spacing w:val="0"/>
          <w:kern w:val="0"/>
          <w:sz w:val="32"/>
          <w:szCs w:val="32"/>
          <w:highlight w:val="none"/>
          <w:shd w:val="clear" w:color="auto" w:fill="FFFFFF"/>
          <w:lang w:val="en-US" w:eastAsia="zh-CN" w:bidi="ar-SA"/>
        </w:rPr>
        <w:t>加拿大一枝黄花</w:t>
      </w:r>
      <w:r>
        <w:rPr>
          <w:rFonts w:hint="eastAsia" w:asciiTheme="minorEastAsia" w:hAnsiTheme="minorEastAsia" w:eastAsiaTheme="minorEastAsia" w:cstheme="minorEastAsia"/>
          <w:sz w:val="32"/>
          <w:szCs w:val="32"/>
        </w:rPr>
        <w:t>发生面积</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危害程度</w:t>
      </w:r>
      <w:r>
        <w:rPr>
          <w:rFonts w:hint="eastAsia" w:asciiTheme="minorEastAsia" w:hAnsiTheme="minorEastAsia" w:eastAsiaTheme="minorEastAsia" w:cstheme="minorEastAsia"/>
          <w:sz w:val="32"/>
          <w:szCs w:val="32"/>
          <w:lang w:eastAsia="zh-CN"/>
        </w:rPr>
        <w:t>、除治进度进行</w:t>
      </w:r>
      <w:r>
        <w:rPr>
          <w:rFonts w:hint="eastAsia" w:asciiTheme="minorEastAsia" w:hAnsiTheme="minorEastAsia" w:eastAsiaTheme="minorEastAsia" w:cstheme="minorEastAsia"/>
          <w:sz w:val="32"/>
          <w:szCs w:val="32"/>
        </w:rPr>
        <w:t>全面监测</w:t>
      </w:r>
      <w:r>
        <w:rPr>
          <w:rFonts w:hint="eastAsia" w:asciiTheme="minorEastAsia" w:hAnsiTheme="minorEastAsia" w:eastAsiaTheme="minorEastAsia" w:cstheme="minorEastAsia"/>
          <w:sz w:val="32"/>
          <w:szCs w:val="32"/>
          <w:lang w:eastAsia="zh-CN"/>
        </w:rPr>
        <w:t>，并建立台帐</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与</w:t>
      </w:r>
      <w:r>
        <w:rPr>
          <w:rFonts w:hint="eastAsia" w:asciiTheme="minorEastAsia" w:hAnsiTheme="minorEastAsia" w:eastAsiaTheme="minorEastAsia" w:cstheme="minorEastAsia"/>
          <w:sz w:val="32"/>
          <w:szCs w:val="32"/>
        </w:rPr>
        <w:t>乡镇人民政府、街道办事处</w:t>
      </w:r>
      <w:r>
        <w:rPr>
          <w:rFonts w:hint="eastAsia" w:asciiTheme="minorEastAsia" w:hAnsiTheme="minorEastAsia" w:eastAsiaTheme="minorEastAsia" w:cstheme="minorEastAsia"/>
          <w:sz w:val="32"/>
          <w:szCs w:val="32"/>
          <w:lang w:eastAsia="zh-CN"/>
        </w:rPr>
        <w:t>与</w:t>
      </w:r>
      <w:r>
        <w:rPr>
          <w:rFonts w:hint="eastAsia" w:asciiTheme="minorEastAsia" w:hAnsiTheme="minorEastAsia" w:eastAsiaTheme="minorEastAsia" w:cstheme="minorEastAsia"/>
          <w:sz w:val="32"/>
          <w:szCs w:val="32"/>
        </w:rPr>
        <w:t>区直有关单位</w:t>
      </w:r>
      <w:r>
        <w:rPr>
          <w:rFonts w:hint="eastAsia" w:asciiTheme="minorEastAsia" w:hAnsiTheme="minorEastAsia" w:eastAsiaTheme="minorEastAsia" w:cstheme="minorEastAsia"/>
          <w:sz w:val="32"/>
          <w:szCs w:val="32"/>
          <w:lang w:eastAsia="zh-CN"/>
        </w:rPr>
        <w:t>迅速</w:t>
      </w:r>
      <w:r>
        <w:rPr>
          <w:rFonts w:hint="eastAsia" w:asciiTheme="minorEastAsia" w:hAnsiTheme="minorEastAsia" w:eastAsiaTheme="minorEastAsia" w:cstheme="minorEastAsia"/>
          <w:sz w:val="32"/>
          <w:szCs w:val="32"/>
        </w:rPr>
        <w:t>组织专业技术力量实施摘花剪籽、深翻清根等人工铲除</w:t>
      </w:r>
      <w:r>
        <w:rPr>
          <w:rFonts w:hint="eastAsia" w:asciiTheme="minorEastAsia" w:hAnsiTheme="minorEastAsia" w:eastAsiaTheme="minorEastAsia" w:cstheme="minorEastAsia"/>
          <w:sz w:val="32"/>
          <w:szCs w:val="32"/>
          <w:lang w:eastAsia="zh-CN"/>
        </w:rPr>
        <w:t>措施</w:t>
      </w:r>
      <w:r>
        <w:rPr>
          <w:rFonts w:hint="eastAsia" w:asciiTheme="minorEastAsia" w:hAnsiTheme="minorEastAsia" w:eastAsiaTheme="minorEastAsia" w:cstheme="minorEastAsia"/>
          <w:sz w:val="32"/>
          <w:szCs w:val="32"/>
        </w:rPr>
        <w:t>和化学防治</w:t>
      </w:r>
      <w:r>
        <w:rPr>
          <w:rFonts w:hint="eastAsia" w:asciiTheme="minorEastAsia" w:hAnsiTheme="minorEastAsia" w:eastAsiaTheme="minorEastAsia" w:cstheme="minorEastAsia"/>
          <w:sz w:val="32"/>
          <w:szCs w:val="32"/>
          <w:lang w:eastAsia="zh-CN"/>
        </w:rPr>
        <w:t>措施，完成除治工作。</w:t>
      </w:r>
      <w:r>
        <w:rPr>
          <w:rFonts w:hint="eastAsia" w:asciiTheme="minorEastAsia" w:hAnsiTheme="minorEastAsia" w:eastAsiaTheme="minorEastAsia" w:cstheme="minorEastAsia"/>
          <w:sz w:val="32"/>
          <w:szCs w:val="32"/>
        </w:rPr>
        <w:t>积极防控加拿大一枝黄花等外来有害生物，是维护地区生物多样性，推进生态文明建设的重要保障。</w:t>
      </w:r>
    </w:p>
    <w:p>
      <w:pPr>
        <w:pStyle w:val="7"/>
        <w:widowControl/>
        <w:shd w:val="clear" w:color="auto" w:fill="FFFFFF"/>
        <w:spacing w:beforeAutospacing="0" w:after="150" w:afterAutospacing="0" w:line="450" w:lineRule="atLeast"/>
        <w:ind w:firstLine="640" w:firstLineChars="200"/>
        <w:rPr>
          <w:rFonts w:hint="eastAsia" w:ascii="黑体" w:hAnsi="黑体" w:eastAsia="黑体" w:cs="黑体"/>
          <w:b/>
          <w:bCs/>
          <w:color w:val="000000" w:themeColor="text1"/>
          <w:sz w:val="32"/>
          <w:szCs w:val="32"/>
        </w:rPr>
      </w:pPr>
      <w:r>
        <w:rPr>
          <w:rFonts w:hint="eastAsia" w:ascii="黑体" w:hAnsi="黑体" w:eastAsia="黑体" w:cs="黑体"/>
          <w:b w:val="0"/>
          <w:bCs w:val="0"/>
          <w:color w:val="000000" w:themeColor="text1"/>
          <w:sz w:val="32"/>
          <w:szCs w:val="32"/>
          <w:shd w:val="clear" w:color="auto" w:fill="FFFFFF"/>
          <w:lang w:val="en-US" w:eastAsia="zh-CN"/>
        </w:rPr>
        <w:t>五</w:t>
      </w:r>
      <w:r>
        <w:rPr>
          <w:rFonts w:hint="eastAsia" w:ascii="黑体" w:hAnsi="黑体" w:eastAsia="黑体" w:cs="黑体"/>
          <w:b w:val="0"/>
          <w:bCs w:val="0"/>
          <w:color w:val="000000" w:themeColor="text1"/>
          <w:sz w:val="32"/>
          <w:szCs w:val="32"/>
          <w:shd w:val="clear" w:color="auto" w:fill="FFFFFF"/>
        </w:rPr>
        <w:t>、评价结论及建议</w:t>
      </w:r>
    </w:p>
    <w:p>
      <w:pPr>
        <w:pStyle w:val="7"/>
        <w:widowControl/>
        <w:shd w:val="clear" w:color="auto" w:fill="FFFFFF"/>
        <w:spacing w:beforeAutospacing="0" w:after="150" w:afterAutospacing="0" w:line="450" w:lineRule="atLeast"/>
        <w:rPr>
          <w:rFonts w:hint="eastAsia" w:ascii="黑体" w:hAnsi="黑体" w:eastAsia="黑体" w:cs="黑体"/>
          <w:color w:val="auto"/>
          <w:sz w:val="32"/>
          <w:szCs w:val="32"/>
        </w:rPr>
      </w:pPr>
      <w:r>
        <w:rPr>
          <w:rFonts w:hint="eastAsia" w:asciiTheme="minorEastAsia" w:hAnsiTheme="minorEastAsia" w:eastAsiaTheme="minorEastAsia" w:cstheme="minorEastAsia"/>
          <w:color w:val="555555"/>
          <w:sz w:val="32"/>
          <w:szCs w:val="32"/>
          <w:shd w:val="clear" w:color="auto" w:fill="FFFFFF"/>
        </w:rPr>
        <w:t>　　</w:t>
      </w:r>
      <w:r>
        <w:rPr>
          <w:rFonts w:hint="eastAsia" w:ascii="黑体" w:hAnsi="黑体" w:eastAsia="黑体" w:cs="黑体"/>
          <w:color w:val="auto"/>
          <w:sz w:val="32"/>
          <w:szCs w:val="32"/>
          <w:shd w:val="clear" w:color="auto" w:fill="FFFFFF"/>
        </w:rPr>
        <w:t>（一）评价结论</w:t>
      </w:r>
    </w:p>
    <w:p>
      <w:pPr>
        <w:pStyle w:val="7"/>
        <w:widowControl/>
        <w:shd w:val="clear" w:color="auto" w:fill="FFFFFF"/>
        <w:spacing w:beforeAutospacing="0" w:after="150" w:afterAutospacing="0" w:line="450" w:lineRule="atLeas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shd w:val="clear" w:color="auto" w:fill="FFFFFF"/>
        </w:rPr>
        <w:t>　　综上所述，我单位在预算编制、预算执行、支出绩效方面，严格按照规定执行，合理安排支出，使财政资金发挥最大使用效益。</w:t>
      </w:r>
    </w:p>
    <w:p>
      <w:pPr>
        <w:pStyle w:val="7"/>
        <w:widowControl/>
        <w:shd w:val="clear" w:color="auto" w:fill="FFFFFF"/>
        <w:spacing w:beforeAutospacing="0" w:after="150" w:afterAutospacing="0" w:line="450" w:lineRule="atLeast"/>
        <w:rPr>
          <w:rFonts w:hint="eastAsia" w:ascii="黑体" w:hAnsi="黑体" w:eastAsia="黑体" w:cs="黑体"/>
          <w:color w:val="auto"/>
          <w:sz w:val="32"/>
          <w:szCs w:val="32"/>
        </w:rPr>
      </w:pPr>
      <w:r>
        <w:rPr>
          <w:rFonts w:hint="eastAsia" w:asciiTheme="minorEastAsia" w:hAnsiTheme="minorEastAsia" w:eastAsiaTheme="minorEastAsia" w:cstheme="minorEastAsia"/>
          <w:color w:val="auto"/>
          <w:sz w:val="32"/>
          <w:szCs w:val="32"/>
          <w:shd w:val="clear" w:color="auto" w:fill="FFFFFF"/>
        </w:rPr>
        <w:t>　　</w:t>
      </w:r>
      <w:r>
        <w:rPr>
          <w:rFonts w:hint="eastAsia" w:ascii="黑体" w:hAnsi="黑体" w:eastAsia="黑体" w:cs="黑体"/>
          <w:color w:val="auto"/>
          <w:sz w:val="32"/>
          <w:szCs w:val="32"/>
          <w:shd w:val="clear" w:color="auto" w:fill="FFFFFF"/>
        </w:rPr>
        <w:t>（二）存在问题</w:t>
      </w:r>
    </w:p>
    <w:p>
      <w:pPr>
        <w:pStyle w:val="7"/>
        <w:widowControl/>
        <w:shd w:val="clear" w:color="auto" w:fill="FFFFFF"/>
        <w:spacing w:beforeAutospacing="0" w:after="150" w:afterAutospacing="0" w:line="450" w:lineRule="atLeas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shd w:val="clear" w:color="auto" w:fill="FFFFFF"/>
        </w:rPr>
        <w:t>　　预算管理和财务管理有待加强，经费核算需进一步完善。在核算过程中部分支出难以区分支出范围，资金使用存在界限不清的现象。</w:t>
      </w:r>
    </w:p>
    <w:p>
      <w:pPr>
        <w:pStyle w:val="7"/>
        <w:widowControl/>
        <w:shd w:val="clear" w:color="auto" w:fill="FFFFFF"/>
        <w:spacing w:beforeAutospacing="0" w:after="150" w:afterAutospacing="0" w:line="450" w:lineRule="atLeast"/>
        <w:rPr>
          <w:rFonts w:hint="eastAsia" w:ascii="黑体" w:hAnsi="黑体" w:eastAsia="黑体" w:cs="黑体"/>
          <w:color w:val="auto"/>
          <w:sz w:val="32"/>
          <w:szCs w:val="32"/>
        </w:rPr>
      </w:pPr>
      <w:r>
        <w:rPr>
          <w:rFonts w:hint="eastAsia" w:asciiTheme="minorEastAsia" w:hAnsiTheme="minorEastAsia" w:eastAsiaTheme="minorEastAsia" w:cstheme="minorEastAsia"/>
          <w:color w:val="auto"/>
          <w:sz w:val="32"/>
          <w:szCs w:val="32"/>
          <w:shd w:val="clear" w:color="auto" w:fill="FFFFFF"/>
        </w:rPr>
        <w:t>　　</w:t>
      </w:r>
      <w:r>
        <w:rPr>
          <w:rFonts w:hint="eastAsia" w:ascii="黑体" w:hAnsi="黑体" w:eastAsia="黑体" w:cs="黑体"/>
          <w:color w:val="auto"/>
          <w:sz w:val="32"/>
          <w:szCs w:val="32"/>
          <w:shd w:val="clear" w:color="auto" w:fill="FFFFFF"/>
        </w:rPr>
        <w:t>（三）改进建议</w:t>
      </w:r>
    </w:p>
    <w:p>
      <w:pPr>
        <w:pStyle w:val="7"/>
        <w:widowControl/>
        <w:shd w:val="clear" w:color="auto" w:fill="FFFFFF"/>
        <w:spacing w:beforeAutospacing="0" w:after="150" w:afterAutospacing="0" w:line="450" w:lineRule="atLeas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shd w:val="clear" w:color="auto" w:fill="FFFFFF"/>
        </w:rPr>
        <w:t>　　1、细化预算编制工作，认真做好年初预算编制。进一步加强单位内部各股室的预算管理意识，严格按照预算编制的相关要求进行编制。</w:t>
      </w:r>
    </w:p>
    <w:p>
      <w:pPr>
        <w:pStyle w:val="7"/>
        <w:widowControl/>
        <w:shd w:val="clear" w:color="auto" w:fill="FFFFFF"/>
        <w:spacing w:beforeAutospacing="0" w:after="150" w:afterAutospacing="0" w:line="450" w:lineRule="atLeas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shd w:val="clear" w:color="auto" w:fill="FFFFFF"/>
        </w:rPr>
        <w:t>　　2、加强财务管理，严格财务审核。加强单位财务管理，健全单位财务管理制度体系，规范单位财务行为。在费用报销时，按照预算规定的项目和用途进行资金使用审核、支付及财务核算，预防超支现象的发生。</w:t>
      </w:r>
    </w:p>
    <w:p>
      <w:pPr>
        <w:pStyle w:val="7"/>
        <w:widowControl/>
        <w:shd w:val="clear" w:color="auto" w:fill="FFFFFF"/>
        <w:spacing w:beforeAutospacing="0" w:after="150" w:afterAutospacing="0" w:line="450" w:lineRule="atLeas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shd w:val="clear" w:color="auto" w:fill="FFFFFF"/>
        </w:rPr>
        <w:t>　　3、加强对相关人员培训，特别是针对《预算法》、《政府会计制度》等方面学习培训，规范部门预算收支核算，切实提高部门预算收支管理水平。</w:t>
      </w:r>
    </w:p>
    <w:p>
      <w:pPr>
        <w:spacing w:line="580" w:lineRule="exact"/>
        <w:ind w:firstLine="640" w:firstLineChars="200"/>
        <w:rPr>
          <w:rFonts w:hint="eastAsia" w:asciiTheme="minorEastAsia" w:hAnsiTheme="minorEastAsia" w:eastAsiaTheme="minorEastAsia" w:cstheme="minorEastAsia"/>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9B4F1"/>
    <w:multiLevelType w:val="singleLevel"/>
    <w:tmpl w:val="7109B4F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3ODQ1OTk2NGFhMWY1NWFlZTIzZWYxY2VmZjM5NzEifQ=="/>
  </w:docVars>
  <w:rsids>
    <w:rsidRoot w:val="6DD74F2C"/>
    <w:rsid w:val="00105044"/>
    <w:rsid w:val="00BD37FF"/>
    <w:rsid w:val="028328A9"/>
    <w:rsid w:val="05E942B9"/>
    <w:rsid w:val="069307A2"/>
    <w:rsid w:val="0AA855AD"/>
    <w:rsid w:val="0F246568"/>
    <w:rsid w:val="120A3EDD"/>
    <w:rsid w:val="12825DFC"/>
    <w:rsid w:val="15361BB8"/>
    <w:rsid w:val="18233A1E"/>
    <w:rsid w:val="183C64CF"/>
    <w:rsid w:val="18A90973"/>
    <w:rsid w:val="1ED1339F"/>
    <w:rsid w:val="245C5C15"/>
    <w:rsid w:val="2E6308A0"/>
    <w:rsid w:val="359E5D0B"/>
    <w:rsid w:val="41501735"/>
    <w:rsid w:val="4AD42E90"/>
    <w:rsid w:val="4B5E0DC1"/>
    <w:rsid w:val="588C2AAA"/>
    <w:rsid w:val="5B1F051B"/>
    <w:rsid w:val="5BD91CEE"/>
    <w:rsid w:val="5C9B425A"/>
    <w:rsid w:val="5CBB62D9"/>
    <w:rsid w:val="5D8D6A5C"/>
    <w:rsid w:val="5E962855"/>
    <w:rsid w:val="5F464F3F"/>
    <w:rsid w:val="60425A7C"/>
    <w:rsid w:val="61C934F9"/>
    <w:rsid w:val="65427D6D"/>
    <w:rsid w:val="662C1F2C"/>
    <w:rsid w:val="665738AC"/>
    <w:rsid w:val="669319E0"/>
    <w:rsid w:val="6BFD557A"/>
    <w:rsid w:val="6D45711C"/>
    <w:rsid w:val="6DD74F2C"/>
    <w:rsid w:val="71BF446C"/>
    <w:rsid w:val="77DB48FF"/>
    <w:rsid w:val="79461301"/>
    <w:rsid w:val="7B8F09D9"/>
    <w:rsid w:val="7DF45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rPr>
      <w:rFonts w:ascii="Times New Roman" w:hAnsi="Times New Roman"/>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1">
    <w:name w:val="List Paragraph"/>
    <w:basedOn w:val="1"/>
    <w:qFormat/>
    <w:uiPriority w:val="34"/>
    <w:pPr>
      <w:ind w:firstLine="420" w:firstLineChars="200"/>
    </w:pPr>
    <w:rPr>
      <w:rFonts w:ascii="Calibri" w:hAnsi="Calibri"/>
      <w:szCs w:val="22"/>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paragraph" w:customStyle="1" w:styleId="14">
    <w:name w:val="正文-公1"/>
    <w:basedOn w:val="1"/>
    <w:qFormat/>
    <w:uiPriority w:val="0"/>
    <w:pPr>
      <w:ind w:firstLine="200" w:firstLineChars="200"/>
    </w:pPr>
    <w:rPr>
      <w:color w:val="00000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2202</Words>
  <Characters>2306</Characters>
  <Lines>1</Lines>
  <Paragraphs>2</Paragraphs>
  <TotalTime>2</TotalTime>
  <ScaleCrop>false</ScaleCrop>
  <LinksUpToDate>false</LinksUpToDate>
  <CharactersWithSpaces>2322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Caffeine</cp:lastModifiedBy>
  <dcterms:modified xsi:type="dcterms:W3CDTF">2022-09-27T14:20:55Z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38A3963F4EC549D3BC8B711BDA7CF0FE</vt:lpwstr>
  </property>
</Properties>
</file>