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大祥区卫生计生综合监督执法局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部门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绩效评价报告</w:t>
      </w: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both"/>
        <w:rPr>
          <w:rFonts w:hint="eastAsia" w:eastAsia="方正小标宋_GBK"/>
          <w:bCs/>
          <w:kern w:val="0"/>
          <w:sz w:val="36"/>
          <w:szCs w:val="36"/>
          <w:lang w:eastAsia="zh-CN"/>
        </w:rPr>
      </w:pP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一、</w:t>
      </w:r>
      <w:r>
        <w:rPr>
          <w:rFonts w:hint="eastAsia" w:eastAsia="方正小标宋_GBK"/>
          <w:bCs/>
          <w:kern w:val="0"/>
          <w:sz w:val="36"/>
          <w:szCs w:val="36"/>
        </w:rPr>
        <w:t xml:space="preserve"> 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卫生计生综合执法局</w:t>
      </w:r>
      <w:r>
        <w:rPr>
          <w:rFonts w:hint="eastAsia" w:eastAsia="方正小标宋_GBK"/>
          <w:bCs/>
          <w:kern w:val="0"/>
          <w:sz w:val="36"/>
          <w:szCs w:val="36"/>
        </w:rPr>
        <w:t>部门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简介</w:t>
      </w:r>
    </w:p>
    <w:p>
      <w:pPr>
        <w:pStyle w:val="7"/>
        <w:ind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部门职责</w:t>
      </w:r>
    </w:p>
    <w:p>
      <w:pPr>
        <w:pStyle w:val="3"/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依法监督管理学校卫生、传染病防治、消毒产品、生活饮用水和涉及饮用水卫生安全产品、医疗机构和采供血机构及其执业活动，整顿和规范医疗服务市场；放射性同位素及射线装置安全和防护、职业病防治宣传等工作。</w:t>
      </w:r>
    </w:p>
    <w:p>
      <w:pPr>
        <w:pStyle w:val="3"/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2、依法受理发放公共场所、生活饮用水、放射性同位素及射线装置卫生许可。</w:t>
      </w:r>
    </w:p>
    <w:p>
      <w:pPr>
        <w:pStyle w:val="3"/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3、依法负责全区违法生育的大案、要案、信访案件的查办；负责全区社会抚养费征收案件的审批；打击非法行医和非法采供血、非法鉴定胎儿性别的违法行为。</w:t>
      </w:r>
    </w:p>
    <w:p>
      <w:pPr>
        <w:pStyle w:val="3"/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4、承担上级交办的各项任务。</w:t>
      </w:r>
    </w:p>
    <w:p>
      <w:pPr>
        <w:widowControl/>
        <w:spacing w:line="600" w:lineRule="exact"/>
        <w:rPr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（二）</w:t>
      </w:r>
      <w:r>
        <w:rPr>
          <w:rFonts w:eastAsia="仿宋_GB2312"/>
          <w:b/>
          <w:bCs/>
          <w:color w:val="auto"/>
          <w:kern w:val="0"/>
          <w:sz w:val="32"/>
          <w:szCs w:val="32"/>
        </w:rPr>
        <w:t>机构设置及决算单位构成</w:t>
      </w:r>
    </w:p>
    <w:p>
      <w:pPr>
        <w:pStyle w:val="3"/>
        <w:widowControl/>
        <w:spacing w:line="600" w:lineRule="atLeast"/>
        <w:jc w:val="both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</w:rPr>
        <w:t>内设机构设置。</w:t>
      </w:r>
    </w:p>
    <w:p>
      <w:pPr>
        <w:pStyle w:val="3"/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市机构编制委员会办公室文件《关于整合大祥区监督和计划生育执法资源的批复》（市编发〔2016〕36号），撤销大祥区计划生育社会抚养费征收管理局，将大祥区卫生监督所更名为大祥区卫生计生综合监督执法局，为该区副科级事业单位，编制16人。其中，局长1名，副局长2名。实有人数15人，其中在职15人，退休0人。</w:t>
      </w:r>
    </w:p>
    <w:p>
      <w:pPr>
        <w:widowControl/>
        <w:spacing w:line="62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邵阳市卫生计生综合监督执法局单位内设机构包括：办公室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公共场所监督股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学校卫生及生活饮用水监督股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计划生育监督股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医疗卫生监督股。</w:t>
      </w:r>
    </w:p>
    <w:p>
      <w:pPr>
        <w:pStyle w:val="3"/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</w:p>
    <w:p>
      <w:pPr>
        <w:pStyle w:val="6"/>
        <w:numPr>
          <w:ilvl w:val="0"/>
          <w:numId w:val="0"/>
        </w:numPr>
        <w:spacing w:line="600" w:lineRule="exact"/>
        <w:ind w:firstLine="320" w:firstLineChars="100"/>
        <w:rPr>
          <w:rFonts w:hAnsi="黑体" w:cs="Times New Roman"/>
          <w:color w:val="auto"/>
          <w:sz w:val="32"/>
          <w:szCs w:val="32"/>
        </w:rPr>
      </w:pPr>
      <w:r>
        <w:rPr>
          <w:rFonts w:hint="eastAsia" w:hAnsi="黑体" w:cs="Times New Roman"/>
          <w:color w:val="auto"/>
          <w:sz w:val="32"/>
          <w:szCs w:val="32"/>
          <w:lang w:eastAsia="zh-CN"/>
        </w:rPr>
        <w:t>二、</w:t>
      </w:r>
      <w:r>
        <w:rPr>
          <w:rFonts w:hAnsi="黑体" w:cs="Times New Roman"/>
          <w:color w:val="auto"/>
          <w:sz w:val="32"/>
          <w:szCs w:val="32"/>
        </w:rPr>
        <w:t>收支</w:t>
      </w:r>
      <w:r>
        <w:rPr>
          <w:rFonts w:hint="eastAsia" w:hAnsi="黑体" w:cs="Times New Roman"/>
          <w:color w:val="auto"/>
          <w:sz w:val="32"/>
          <w:szCs w:val="32"/>
          <w:lang w:eastAsia="zh-CN"/>
        </w:rPr>
        <w:t>情况说明</w:t>
      </w:r>
    </w:p>
    <w:p>
      <w:pPr>
        <w:pStyle w:val="6"/>
        <w:numPr>
          <w:ilvl w:val="0"/>
          <w:numId w:val="0"/>
        </w:numPr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u w:val="none"/>
        </w:rPr>
      </w:pPr>
      <w:r>
        <w:rPr>
          <w:rFonts w:hint="eastAsia" w:hAnsi="黑体" w:cs="Times New Roman"/>
          <w:color w:val="auto"/>
          <w:sz w:val="32"/>
          <w:szCs w:val="32"/>
          <w:u w:val="none"/>
          <w:lang w:eastAsia="zh-CN"/>
        </w:rPr>
        <w:t>（一）</w:t>
      </w:r>
      <w:r>
        <w:rPr>
          <w:rFonts w:hAnsi="黑体" w:cs="Times New Roman"/>
          <w:color w:val="auto"/>
          <w:sz w:val="32"/>
          <w:szCs w:val="32"/>
          <w:u w:val="none"/>
        </w:rPr>
        <w:t>、收入决算情况说明</w:t>
      </w:r>
    </w:p>
    <w:p>
      <w:pPr>
        <w:pStyle w:val="6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本年收入合计  313.3 万元，其中：财政拨款收入232.99   万元，占 74.37  %；上级补助收入 0  万元，占 0  %；事业收入  0 万元，占 0  %；经营收入  0 万元，占 0  %；附属单位上缴收入  0 万元，占0%；其他收入  80.31 万元，占 25.63  %。</w:t>
      </w:r>
    </w:p>
    <w:p>
      <w:pPr>
        <w:pStyle w:val="6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u w:val="none"/>
        </w:rPr>
      </w:pPr>
      <w:r>
        <w:rPr>
          <w:rFonts w:hint="eastAsia" w:hAnsi="黑体" w:cs="Times New Roman"/>
          <w:color w:val="auto"/>
          <w:sz w:val="32"/>
          <w:szCs w:val="32"/>
          <w:u w:val="none"/>
          <w:lang w:eastAsia="zh-CN"/>
        </w:rPr>
        <w:t>（二）</w:t>
      </w:r>
      <w:r>
        <w:rPr>
          <w:rFonts w:hAnsi="黑体" w:cs="Times New Roman"/>
          <w:color w:val="auto"/>
          <w:sz w:val="32"/>
          <w:szCs w:val="32"/>
          <w:u w:val="none"/>
        </w:rPr>
        <w:t>支出决算情况说明</w:t>
      </w:r>
    </w:p>
    <w:p>
      <w:pPr>
        <w:pStyle w:val="6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本年支出合计 275.3  万元，其中：基本支出 275.3  万元，占 100  %；项目支出  0 万元，占 0  %；上缴上级支出  0 万元，占  0 %；经营支出  0 万元，占 0  %；对附属单位补助支出 0  万元，占  0 %。</w:t>
      </w:r>
    </w:p>
    <w:p>
      <w:pPr>
        <w:pStyle w:val="6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u w:val="none"/>
        </w:rPr>
      </w:pPr>
      <w:r>
        <w:rPr>
          <w:rFonts w:hint="eastAsia" w:hAnsi="黑体" w:cs="Times New Roman"/>
          <w:color w:val="auto"/>
          <w:sz w:val="32"/>
          <w:szCs w:val="32"/>
          <w:u w:val="none"/>
          <w:lang w:eastAsia="zh-CN"/>
        </w:rPr>
        <w:t>（三）</w:t>
      </w:r>
      <w:r>
        <w:rPr>
          <w:rFonts w:hAnsi="黑体" w:cs="Times New Roman"/>
          <w:color w:val="auto"/>
          <w:sz w:val="32"/>
          <w:szCs w:val="32"/>
          <w:u w:val="none"/>
        </w:rPr>
        <w:t>关于</w:t>
      </w:r>
      <w:r>
        <w:rPr>
          <w:rFonts w:hint="eastAsia" w:hAnsi="黑体" w:cs="Times New Roman"/>
          <w:color w:val="auto"/>
          <w:sz w:val="32"/>
          <w:szCs w:val="32"/>
          <w:u w:val="none"/>
          <w:lang w:val="en-US" w:eastAsia="zh-CN"/>
        </w:rPr>
        <w:t>2020</w:t>
      </w:r>
      <w:r>
        <w:rPr>
          <w:rFonts w:hAnsi="黑体" w:cs="Times New Roman"/>
          <w:color w:val="auto"/>
          <w:sz w:val="32"/>
          <w:szCs w:val="32"/>
          <w:u w:val="none"/>
        </w:rPr>
        <w:t>年度预算绩效情况说明</w:t>
      </w:r>
    </w:p>
    <w:p>
      <w:pPr>
        <w:pStyle w:val="6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本部门整体支出和项目支出实行绩效目标管理，经绩效评价，纳入2020年部门整体支出绩效目标的金额为205.94万元，其中基本支出146.64万元，项目支出59.3 万元用于医疗废弃物处置费39万，其他20万。</w:t>
      </w:r>
    </w:p>
    <w:p>
      <w:pPr>
        <w:pStyle w:val="6"/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（四）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绩效完成情况</w:t>
      </w:r>
    </w:p>
    <w:p>
      <w:pPr>
        <w:numPr>
          <w:ilvl w:val="0"/>
          <w:numId w:val="0"/>
        </w:numPr>
        <w:spacing w:beforeLines="0" w:afterLines="0"/>
        <w:ind w:firstLine="320" w:firstLineChars="1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1、学校卫生、传染防治、消毒产品、生活饮用水和涉及用水安全产品、医疗机构和采供血机构及其执业活动，在我们的有力监督下，得到相应的控制，使学校学生和其他居民的健康安全得到的保障</w:t>
      </w:r>
    </w:p>
    <w:p>
      <w:pPr>
        <w:numPr>
          <w:ilvl w:val="0"/>
          <w:numId w:val="0"/>
        </w:numPr>
        <w:spacing w:beforeLines="0" w:afterLines="0"/>
        <w:ind w:firstLine="320" w:firstLineChars="1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2、加强力度宣传放射性同位素及射线装置安全和防护、职业病防治，使大家都有了很强的防护意。</w:t>
      </w:r>
    </w:p>
    <w:p>
      <w:pPr>
        <w:numPr>
          <w:ilvl w:val="0"/>
          <w:numId w:val="0"/>
        </w:numPr>
        <w:spacing w:beforeLines="0" w:afterLines="0"/>
        <w:ind w:firstLine="320" w:firstLineChars="1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3、非法鉴定胎儿性别的违法行为，在我们的严厉打击下，胎儿流产率明显的降低。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四、评价结论及建议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（一）评价结论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综上所述，我单位在预算编制、预算执行、支出绩效方面，严格按照规定执行，合理安排支出，使财政资金发挥最大使用效益。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（二）存在问题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预算管理和财务管理有待加强，经费核算需进一步完善。在核算过程中部分支出难以区分支出范围，资金使用存在界限不清的现象。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（三）改进建议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1、细化预算编制工作，认真做好年初预算编制。进一步加强单位内部各股室的预算管理意识，严格按照预算编制的相关要求进行编制。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　　3、加强对相关人员培训，特别是针对《预算法》、《政府会计制度》等方面学习培训，规范部门预算收支核算，切实提高部门预算收支管理水平。</w:t>
      </w:r>
    </w:p>
    <w:p>
      <w:pPr>
        <w:pStyle w:val="6"/>
        <w:numPr>
          <w:ilvl w:val="0"/>
          <w:numId w:val="0"/>
        </w:numPr>
        <w:spacing w:line="600" w:lineRule="exact"/>
        <w:ind w:leftChars="4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　　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beforeLines="0" w:afterLines="0"/>
        <w:ind w:firstLine="320" w:firstLineChars="1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beforeLines="0" w:afterLines="0"/>
        <w:ind w:firstLine="320" w:firstLineChars="1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beforeLines="0" w:afterLines="0"/>
        <w:ind w:firstLine="320" w:firstLineChars="1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both"/>
        <w:rPr>
          <w:rFonts w:hint="eastAsia" w:eastAsia="方正小标宋_GBK"/>
          <w:bCs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74F2C"/>
    <w:rsid w:val="00F6044F"/>
    <w:rsid w:val="0153463D"/>
    <w:rsid w:val="02AB5D69"/>
    <w:rsid w:val="0E6C7467"/>
    <w:rsid w:val="14A56112"/>
    <w:rsid w:val="15361BB8"/>
    <w:rsid w:val="19ED2421"/>
    <w:rsid w:val="1B5B2A5B"/>
    <w:rsid w:val="1DE1122F"/>
    <w:rsid w:val="1E0A0C64"/>
    <w:rsid w:val="275827FE"/>
    <w:rsid w:val="31495405"/>
    <w:rsid w:val="31652C5A"/>
    <w:rsid w:val="329164C8"/>
    <w:rsid w:val="34941F31"/>
    <w:rsid w:val="3A5145C8"/>
    <w:rsid w:val="3E83221B"/>
    <w:rsid w:val="51A356A1"/>
    <w:rsid w:val="53CE65D3"/>
    <w:rsid w:val="572D04C9"/>
    <w:rsid w:val="5B1F051B"/>
    <w:rsid w:val="5DDC5AFA"/>
    <w:rsid w:val="61C934F9"/>
    <w:rsid w:val="653D1734"/>
    <w:rsid w:val="65434254"/>
    <w:rsid w:val="669319E0"/>
    <w:rsid w:val="688D52FF"/>
    <w:rsid w:val="6A164E6D"/>
    <w:rsid w:val="6BA1574C"/>
    <w:rsid w:val="6BBA6C63"/>
    <w:rsid w:val="6DD74F2C"/>
    <w:rsid w:val="6E797521"/>
    <w:rsid w:val="75346045"/>
    <w:rsid w:val="756A07E1"/>
    <w:rsid w:val="7F3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Administrator</cp:lastModifiedBy>
  <dcterms:modified xsi:type="dcterms:W3CDTF">2021-09-29T07:56:35Z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38A3963F4EC549D3BC8B711BDA7CF0FE</vt:lpwstr>
  </property>
</Properties>
</file>