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大祥区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人民政府202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年4月“三重点”任务清单</w:t>
      </w:r>
    </w:p>
    <w:tbl>
      <w:tblPr>
        <w:tblW w:w="147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459"/>
        <w:gridCol w:w="578"/>
        <w:gridCol w:w="560"/>
        <w:gridCol w:w="457"/>
        <w:gridCol w:w="431"/>
        <w:gridCol w:w="569"/>
        <w:gridCol w:w="6264"/>
        <w:gridCol w:w="824"/>
        <w:gridCol w:w="2373"/>
        <w:gridCol w:w="911"/>
        <w:gridCol w:w="803"/>
        <w:gridCol w:w="22"/>
      </w:tblGrid>
      <w:tr>
        <w:trPr>
          <w:gridAfter w:val="1"/>
          <w:wAfter w:w="22" w:type="dxa"/>
          <w:cantSplit/>
          <w:trHeight w:val="480" w:hRule="atLeast"/>
          <w:tblHeader/>
          <w:jc w:val="center"/>
        </w:trPr>
        <w:tc>
          <w:tcPr>
            <w:tcW w:w="53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4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59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工作目标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牵头</w:t>
            </w:r>
          </w:p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领导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责任人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联络人</w:t>
            </w:r>
          </w:p>
        </w:tc>
      </w:tr>
      <w:tr>
        <w:trPr>
          <w:gridAfter w:val="1"/>
          <w:wAfter w:w="22" w:type="dxa"/>
          <w:cantSplit/>
          <w:trHeight w:val="724" w:hRule="atLeast"/>
          <w:jc w:val="center"/>
        </w:trPr>
        <w:tc>
          <w:tcPr>
            <w:tcW w:w="53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重点工作</w:t>
            </w:r>
          </w:p>
        </w:tc>
        <w:tc>
          <w:tcPr>
            <w:tcW w:w="45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57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三大支撑八项重点工作</w:t>
            </w:r>
          </w:p>
        </w:tc>
        <w:tc>
          <w:tcPr>
            <w:tcW w:w="56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三大支撑</w:t>
            </w:r>
          </w:p>
        </w:tc>
        <w:tc>
          <w:tcPr>
            <w:tcW w:w="1457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（1）电力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10千伏配电网改造升级项目完成0.6亿元项目施工建设。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吴方定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区发改局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剑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刘一凡</w:t>
            </w:r>
          </w:p>
        </w:tc>
      </w:tr>
      <w:tr>
        <w:trPr>
          <w:gridAfter w:val="1"/>
          <w:wAfter w:w="22" w:type="dxa"/>
          <w:cantSplit/>
          <w:trHeight w:val="1585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（2）算力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全市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85个5G站点开工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（完成市定任务数）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；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2.发展千兆光网用户；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3.采购政务云安全测评服务，向市政府申请政务云变更经费和采购计划录入财政系统；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吴方定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唐兴辉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区发改局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区科工信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局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行政审批服务局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剑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高云头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许配维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刘一凡夏得宝李梦婷</w:t>
            </w:r>
          </w:p>
        </w:tc>
      </w:tr>
      <w:tr>
        <w:trPr>
          <w:gridAfter w:val="1"/>
          <w:wAfter w:w="22" w:type="dxa"/>
          <w:cantSplit/>
          <w:trHeight w:val="2860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tcBorders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（3）动力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1.国企改革三年行动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①确定2022年国企改革任务清单，完善国企改革领导小组和工作专班②启动改制企业党员接管工作③申请破产的企业按程序向法院提出申请；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2.①完成签约项目10个，其中邵商回归项目6个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（完成市定任务数）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②3月当月和4月当月外贸进出口实现正增长③对非实绩企业进行逐一核实、建立对非企业台账与问题清单；摸底省级以上园区对于中国湖南自贸区首批联动发展区申报意向，审核申报资料，起草与湖南自贸区三大片区及省自贸办的对接计划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吴方定唐兴辉夏丹波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发改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局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区科工信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局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商务局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农科园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大祥产业集中区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剑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高云头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王小平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彭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赤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孙艳平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刘一凡夏得宝陈尧栩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钱正道李孝民</w:t>
            </w:r>
          </w:p>
        </w:tc>
      </w:tr>
      <w:tr>
        <w:trPr>
          <w:gridAfter w:val="1"/>
          <w:wAfter w:w="22" w:type="dxa"/>
          <w:cantSplit/>
          <w:trHeight w:val="123" w:hRule="atLeast"/>
          <w:jc w:val="center"/>
        </w:trPr>
        <w:tc>
          <w:tcPr>
            <w:tcW w:w="53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重点工作</w:t>
            </w:r>
          </w:p>
        </w:tc>
        <w:tc>
          <w:tcPr>
            <w:tcW w:w="45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57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三大支撑八项重点工作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八项重点工作</w:t>
            </w:r>
          </w:p>
        </w:tc>
        <w:tc>
          <w:tcPr>
            <w:tcW w:w="1457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（1）市场主体倍增工程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市场主体总量净增10595户，其中企业净增3666户，个转企新增134户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（完成市定任务数）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唐兴辉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夏丹波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区科工信局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市场监管局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高云头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姚作胜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夏得宝</w:t>
            </w:r>
          </w:p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峥</w:t>
            </w:r>
          </w:p>
        </w:tc>
      </w:tr>
      <w:tr>
        <w:trPr>
          <w:gridAfter w:val="1"/>
          <w:wAfter w:w="22" w:type="dxa"/>
          <w:cantSplit/>
          <w:trHeight w:val="90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（2）产业发展“千百十”工程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新开工亿元以上项目1个以上；共明确培育10亿级企业1家以上。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唐兴辉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区科工信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局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农科园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大祥产业集中区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高云头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彭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赤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孙艳平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夏得宝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钱正道李孝民</w:t>
            </w:r>
          </w:p>
        </w:tc>
      </w:tr>
      <w:tr>
        <w:trPr>
          <w:gridAfter w:val="1"/>
          <w:wAfter w:w="22" w:type="dxa"/>
          <w:cantSplit/>
          <w:trHeight w:val="916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（3）新增规模工业企业行动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全市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计划新增6家以上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（完成市定任务数）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唐兴辉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区科工信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局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农科园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大祥产业集中区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高云头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彭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赤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孙艳平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夏得宝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钱正道李孝民</w:t>
            </w:r>
          </w:p>
        </w:tc>
      </w:tr>
      <w:tr>
        <w:trPr>
          <w:gridAfter w:val="1"/>
          <w:wAfter w:w="22" w:type="dxa"/>
          <w:cantSplit/>
          <w:trHeight w:val="90" w:hRule="atLeast"/>
          <w:jc w:val="center"/>
        </w:trPr>
        <w:tc>
          <w:tcPr>
            <w:tcW w:w="53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重点工作</w:t>
            </w:r>
          </w:p>
        </w:tc>
        <w:tc>
          <w:tcPr>
            <w:tcW w:w="45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57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三大支撑八项重点工作</w:t>
            </w:r>
          </w:p>
        </w:tc>
        <w:tc>
          <w:tcPr>
            <w:tcW w:w="56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八项重点工作</w:t>
            </w:r>
          </w:p>
        </w:tc>
        <w:tc>
          <w:tcPr>
            <w:tcW w:w="1457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（4）企业上市“金芙蓉”跃升行动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走访调研我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纳入省上市后备资源库的企业。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吴方定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金融办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张志军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陈宏标</w:t>
            </w:r>
          </w:p>
        </w:tc>
      </w:tr>
      <w:tr>
        <w:trPr>
          <w:gridAfter w:val="1"/>
          <w:wAfter w:w="22" w:type="dxa"/>
          <w:cantSplit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（5）优化营商环境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1.完成投诉举报办理；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2.跟踪后进单位整改情况；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3.收集1-2个优化营商环境典型案例。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吴方定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发改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剑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刘一凡</w:t>
            </w:r>
          </w:p>
        </w:tc>
      </w:tr>
      <w:tr>
        <w:trPr>
          <w:gridAfter w:val="1"/>
          <w:wAfter w:w="22" w:type="dxa"/>
          <w:cantSplit/>
          <w:trHeight w:val="318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（6）“五好”园区建设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1.抓好园区主要经济指标运行；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2.园区完成招商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个以上；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3.抓好园区产业项目落地和推进；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4.按方案开展园区土地清理整顿，提高亩均效益。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吴方定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夏丹波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大祥产业集中区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农科园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区商务局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孙艳平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彭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赤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王小平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钱正道李孝民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陈尧栩</w:t>
            </w:r>
          </w:p>
        </w:tc>
      </w:tr>
      <w:tr>
        <w:trPr>
          <w:cantSplit/>
          <w:trHeight w:val="905" w:hRule="atLeast"/>
          <w:jc w:val="center"/>
        </w:trPr>
        <w:tc>
          <w:tcPr>
            <w:tcW w:w="539" w:type="dxa"/>
            <w:vMerge w:val="restart"/>
            <w:tcBorders>
              <w:bottom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重点工作</w:t>
            </w:r>
          </w:p>
        </w:tc>
        <w:tc>
          <w:tcPr>
            <w:tcW w:w="459" w:type="dxa"/>
            <w:vMerge w:val="restart"/>
            <w:tcBorders>
              <w:bottom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578" w:type="dxa"/>
            <w:vMerge w:val="restart"/>
            <w:tcBorders>
              <w:bottom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三大支撑八项重点工作</w:t>
            </w:r>
          </w:p>
        </w:tc>
        <w:tc>
          <w:tcPr>
            <w:tcW w:w="560" w:type="dxa"/>
            <w:vMerge w:val="restart"/>
            <w:tcBorders>
              <w:bottom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八项重点工作</w:t>
            </w:r>
          </w:p>
        </w:tc>
        <w:tc>
          <w:tcPr>
            <w:tcW w:w="457" w:type="dxa"/>
            <w:vMerge w:val="restart"/>
            <w:tcBorders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（7）“四个十大”</w:t>
            </w:r>
          </w:p>
        </w:tc>
        <w:tc>
          <w:tcPr>
            <w:tcW w:w="431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十大基础设施项目</w:t>
            </w:r>
          </w:p>
        </w:tc>
        <w:tc>
          <w:tcPr>
            <w:tcW w:w="569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犬木塘水库建设</w:t>
            </w:r>
          </w:p>
        </w:tc>
        <w:tc>
          <w:tcPr>
            <w:tcW w:w="6264" w:type="dxa"/>
            <w:tcBorders>
              <w:bottom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1.完成投资7000万元；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2.完成项目用林报批；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3.完成灌区c3、c4、c5和枢纽部分永久用地临时用地报批；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4.完成库区工程用地报批。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（区里负责配合）</w:t>
            </w:r>
          </w:p>
        </w:tc>
        <w:tc>
          <w:tcPr>
            <w:tcW w:w="824" w:type="dxa"/>
            <w:tcBorders>
              <w:bottom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刘海龙</w:t>
            </w:r>
          </w:p>
        </w:tc>
        <w:tc>
          <w:tcPr>
            <w:tcW w:w="2373" w:type="dxa"/>
            <w:tcBorders>
              <w:bottom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水利局</w:t>
            </w:r>
          </w:p>
        </w:tc>
        <w:tc>
          <w:tcPr>
            <w:tcW w:w="911" w:type="dxa"/>
            <w:tcBorders>
              <w:bottom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晖</w:t>
            </w:r>
          </w:p>
        </w:tc>
        <w:tc>
          <w:tcPr>
            <w:tcW w:w="825" w:type="dxa"/>
            <w:gridSpan w:val="2"/>
            <w:tcBorders>
              <w:bottom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tabs>
                <w:tab w:val="clear" w:pos="4153"/>
              </w:tabs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健</w:t>
            </w:r>
          </w:p>
        </w:tc>
      </w:tr>
      <w:tr>
        <w:trPr>
          <w:cantSplit/>
          <w:trHeight w:val="1068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7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31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十大民生实事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职业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教育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楚怡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行动</w:t>
            </w:r>
          </w:p>
        </w:tc>
        <w:tc>
          <w:tcPr>
            <w:tcW w:w="6264" w:type="dxa"/>
            <w:tcBorders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完成邵阳职业教育专项规划初稿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（区里负责配合）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</w:tc>
        <w:tc>
          <w:tcPr>
            <w:tcW w:w="824" w:type="dxa"/>
            <w:tcBorders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夏向阳</w:t>
            </w:r>
          </w:p>
        </w:tc>
        <w:tc>
          <w:tcPr>
            <w:tcW w:w="2373" w:type="dxa"/>
            <w:tcBorders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教育局</w:t>
            </w:r>
          </w:p>
        </w:tc>
        <w:tc>
          <w:tcPr>
            <w:tcW w:w="911" w:type="dxa"/>
            <w:tcBorders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黄承意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李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玲</w:t>
            </w:r>
          </w:p>
        </w:tc>
      </w:tr>
      <w:tr>
        <w:trPr>
          <w:cantSplit/>
          <w:trHeight w:val="1085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7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城镇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老旧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小区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改造</w:t>
            </w:r>
          </w:p>
        </w:tc>
        <w:tc>
          <w:tcPr>
            <w:tcW w:w="6264" w:type="dxa"/>
            <w:tcBorders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继续开展立项、财评、招投标工作，月底开工率达到30%。</w:t>
            </w:r>
          </w:p>
        </w:tc>
        <w:tc>
          <w:tcPr>
            <w:tcW w:w="824" w:type="dxa"/>
            <w:tcBorders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刘文兰</w:t>
            </w:r>
          </w:p>
        </w:tc>
        <w:tc>
          <w:tcPr>
            <w:tcW w:w="2373" w:type="dxa"/>
            <w:tcBorders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住建局</w:t>
            </w:r>
          </w:p>
        </w:tc>
        <w:tc>
          <w:tcPr>
            <w:tcW w:w="911" w:type="dxa"/>
            <w:tcBorders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徐日新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钟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晖</w:t>
            </w:r>
          </w:p>
        </w:tc>
      </w:tr>
      <w:tr>
        <w:trPr>
          <w:gridAfter w:val="1"/>
          <w:wAfter w:w="22" w:type="dxa"/>
          <w:cantSplit/>
          <w:trHeight w:val="660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（8）湘商回归</w:t>
            </w:r>
          </w:p>
        </w:tc>
        <w:tc>
          <w:tcPr>
            <w:tcW w:w="6264" w:type="dxa"/>
            <w:tcBorders>
              <w:top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全市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签约邵商回归项目6个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（完成市定任务数）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</w:tc>
        <w:tc>
          <w:tcPr>
            <w:tcW w:w="824" w:type="dxa"/>
            <w:tcBorders>
              <w:top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夏丹波</w:t>
            </w:r>
          </w:p>
        </w:tc>
        <w:tc>
          <w:tcPr>
            <w:tcW w:w="2373" w:type="dxa"/>
            <w:tcBorders>
              <w:top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商务局</w:t>
            </w:r>
          </w:p>
        </w:tc>
        <w:tc>
          <w:tcPr>
            <w:tcW w:w="911" w:type="dxa"/>
            <w:tcBorders>
              <w:top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王小平</w:t>
            </w:r>
          </w:p>
        </w:tc>
        <w:tc>
          <w:tcPr>
            <w:tcW w:w="803" w:type="dxa"/>
            <w:tcBorders>
              <w:top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陈尧栩</w:t>
            </w:r>
          </w:p>
        </w:tc>
      </w:tr>
      <w:tr>
        <w:trPr>
          <w:gridAfter w:val="1"/>
          <w:wAfter w:w="22" w:type="dxa"/>
          <w:cantSplit/>
          <w:trHeight w:val="690" w:hRule="atLeast"/>
          <w:jc w:val="center"/>
        </w:trPr>
        <w:tc>
          <w:tcPr>
            <w:tcW w:w="53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重点</w:t>
            </w:r>
          </w:p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</w:t>
            </w:r>
          </w:p>
        </w:tc>
        <w:tc>
          <w:tcPr>
            <w:tcW w:w="45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138" w:type="dxa"/>
            <w:gridSpan w:val="2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有关主要经济工作运行调度</w:t>
            </w:r>
          </w:p>
        </w:tc>
        <w:tc>
          <w:tcPr>
            <w:tcW w:w="1457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(1)GDP增速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2022年二季度地区生产总值增速超过全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平均水平，保持全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排名前6位。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吴方定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发改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局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区统计局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剑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刘齐明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刘一凡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文立超</w:t>
            </w:r>
          </w:p>
        </w:tc>
      </w:tr>
      <w:tr>
        <w:trPr>
          <w:gridAfter w:val="1"/>
          <w:wAfter w:w="22" w:type="dxa"/>
          <w:cantSplit/>
          <w:trHeight w:val="90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(2)规模工业增加值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规模工业增加值增速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排名不落全市后三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唐兴辉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区科工信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局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区统计局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高云头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刘齐明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夏得宝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文立超</w:t>
            </w:r>
          </w:p>
        </w:tc>
      </w:tr>
      <w:tr>
        <w:trPr>
          <w:gridAfter w:val="1"/>
          <w:wAfter w:w="22" w:type="dxa"/>
          <w:cantSplit/>
          <w:trHeight w:val="990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(3)固定资产投资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全部投资以及产业投资、制造业投资、民间投资、高新技术投资等结构性投资增速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排名进位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吴方定唐兴辉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发改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局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区科工信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局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区统计局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剑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高云头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刘齐明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刘一凡夏得宝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文立超</w:t>
            </w:r>
          </w:p>
        </w:tc>
      </w:tr>
      <w:tr>
        <w:trPr>
          <w:gridAfter w:val="1"/>
          <w:wAfter w:w="22" w:type="dxa"/>
          <w:cantSplit/>
          <w:trHeight w:val="713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(4)社会消费品零售总额、外贸进出口指标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社会消费品零售总额增幅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超过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平均水平，外贸进出口总额增速当月转正。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夏丹波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商务局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区统计局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王小平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刘齐明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陈尧栩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文立超</w:t>
            </w:r>
          </w:p>
        </w:tc>
      </w:tr>
      <w:tr>
        <w:trPr>
          <w:gridAfter w:val="1"/>
          <w:wAfter w:w="22" w:type="dxa"/>
          <w:cantSplit/>
          <w:trHeight w:val="918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(5)“四上”单位入规入统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确保有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新增数。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吴方定刘文兰唐兴辉夏丹波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区科工信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局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商务局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住建局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发改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局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区统计局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高云头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王小平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徐日新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剑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刘齐明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夏得宝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陈尧栩钟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晖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刘一凡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文立超</w:t>
            </w:r>
          </w:p>
        </w:tc>
      </w:tr>
      <w:tr>
        <w:trPr>
          <w:gridAfter w:val="1"/>
          <w:wAfter w:w="22" w:type="dxa"/>
          <w:cantSplit/>
          <w:trHeight w:val="109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(6)全社会用电量、工业用电量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增速在全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排名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有进位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唐兴辉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区科工信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高云头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夏得宝</w:t>
            </w:r>
          </w:p>
        </w:tc>
      </w:tr>
      <w:tr>
        <w:trPr>
          <w:gridAfter w:val="1"/>
          <w:wAfter w:w="22" w:type="dxa"/>
          <w:cantSplit/>
          <w:trHeight w:val="90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(7)全体居民人均可支配收入、人均消费支出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全体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居民收入增速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、城镇居民人均收入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农村居民人均收入、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居民消费支出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排名不落全市后三名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吴方定刘文兰刘海龙夏丹波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发改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局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区住建局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区农业农村局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区商务局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剑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徐日新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李曙军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王小平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刘一凡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钟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晖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欧阳潘陈尧栩</w:t>
            </w:r>
          </w:p>
        </w:tc>
      </w:tr>
      <w:tr>
        <w:trPr>
          <w:gridAfter w:val="1"/>
          <w:wAfter w:w="22" w:type="dxa"/>
          <w:cantSplit/>
          <w:trHeight w:val="90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(8)税收收入占地方一般公共预算收入比重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提升幅度排名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有进位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吴方定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财政局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税务局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何晓峰</w:t>
            </w:r>
          </w:p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刘浩涛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黄欢庆蒋湘澎</w:t>
            </w:r>
          </w:p>
        </w:tc>
      </w:tr>
      <w:tr>
        <w:trPr>
          <w:gridAfter w:val="1"/>
          <w:wAfter w:w="22" w:type="dxa"/>
          <w:cantSplit/>
          <w:trHeight w:val="341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59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推动经济高质量发展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高质量发展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落后指标减少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吴方定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发改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剑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刘一凡</w:t>
            </w:r>
          </w:p>
        </w:tc>
      </w:tr>
      <w:tr>
        <w:trPr>
          <w:gridAfter w:val="1"/>
          <w:wAfter w:w="22" w:type="dxa"/>
          <w:cantSplit/>
          <w:trHeight w:val="651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重点项目</w:t>
            </w:r>
          </w:p>
        </w:tc>
        <w:tc>
          <w:tcPr>
            <w:tcW w:w="4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59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省、市重点建设项目总体推进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根据省市下达的重点建设项目年度目标任务，每月按照序时进度推进。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吴方定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区发改局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剑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刘一凡</w:t>
            </w:r>
          </w:p>
        </w:tc>
      </w:tr>
      <w:tr>
        <w:trPr>
          <w:gridAfter w:val="1"/>
          <w:wAfter w:w="22" w:type="dxa"/>
          <w:cantSplit/>
          <w:trHeight w:val="2546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59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政府专项债券发行使用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1.2020年发行的专项债券涉及项目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全市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68个，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4月份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使用专项债券额度累计达到8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/>
              </w:rPr>
              <w:t>05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亿元、资金使用率累计达到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/>
              </w:rPr>
              <w:t>100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%；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（完成市定任务）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2.2021年发行的专项债券涉及项目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全市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52个，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4月份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使用专项债券额度累计达到50.45亿元、资金使用率累计达到68.51%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。大祥区任务如下：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大祥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区使用专项债券额度累计达到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0.98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亿元、资金使用率累计达到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89.91%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吴方定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财政局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何晓峰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黄欢庆</w:t>
            </w:r>
          </w:p>
        </w:tc>
      </w:tr>
      <w:tr>
        <w:trPr>
          <w:gridAfter w:val="1"/>
          <w:wAfter w:w="22" w:type="dxa"/>
          <w:cantSplit/>
          <w:trHeight w:val="1290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59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三一智慧新能源项目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完成与各县市区风电资源的合同签订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吴方定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区发改局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剑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刘一凡</w:t>
            </w:r>
          </w:p>
        </w:tc>
      </w:tr>
      <w:tr>
        <w:trPr>
          <w:gridAfter w:val="1"/>
          <w:wAfter w:w="22" w:type="dxa"/>
          <w:cantSplit/>
          <w:trHeight w:val="604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9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邵永高铁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1.完成土地综合开发协议；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2.完成用地组卷工作。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吴方定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发改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剑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刘一凡</w:t>
            </w:r>
          </w:p>
        </w:tc>
      </w:tr>
      <w:tr>
        <w:trPr>
          <w:gridAfter w:val="1"/>
          <w:wAfter w:w="22" w:type="dxa"/>
          <w:cantSplit/>
          <w:trHeight w:val="869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9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邵阳火车站客运综合交通枢纽工程配套基础设施建设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1.完成投资4500万元；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2.完成金山路下穿益湛段隧道代建合同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签订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（区里配合）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吴方定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发改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剑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刘一凡</w:t>
            </w:r>
          </w:p>
        </w:tc>
      </w:tr>
      <w:tr>
        <w:trPr>
          <w:gridAfter w:val="1"/>
          <w:wAfter w:w="22" w:type="dxa"/>
          <w:cantSplit/>
          <w:trHeight w:val="1455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9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湘中职业技术学院建设工程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1.完成投资8000万元；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2.A区（女生宿舍）装饰装修完成65%；B区（男生公寓、教工宿舍）装饰装修完成50%；C区（教学区）主体完成，装修完成20%；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3.解决松坡公园权属问题，确定污水处理厂选址，完成恩泽养老院置换工作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（区援建指挥部按专题会议纪要要求完成相关任务）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向阳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教育局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区援建指挥部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黄承意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粟义祥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李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玲</w:t>
            </w:r>
          </w:p>
        </w:tc>
      </w:tr>
      <w:tr>
        <w:trPr>
          <w:gridAfter w:val="1"/>
          <w:wAfter w:w="22" w:type="dxa"/>
          <w:cantSplit/>
          <w:trHeight w:val="685" w:hRule="atLeast"/>
          <w:jc w:val="center"/>
        </w:trPr>
        <w:tc>
          <w:tcPr>
            <w:tcW w:w="53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重点任务</w:t>
            </w:r>
          </w:p>
        </w:tc>
        <w:tc>
          <w:tcPr>
            <w:tcW w:w="4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59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社会治理六项重点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工作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以市社会治理六项重点工作综合协调组考核为依据。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吴方定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李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胜祥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应急管理局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信访局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公安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王利波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谢卧函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易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啸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戴海红邓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睿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黎再华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袁于清</w:t>
            </w:r>
          </w:p>
        </w:tc>
      </w:tr>
      <w:tr>
        <w:trPr>
          <w:gridAfter w:val="1"/>
          <w:wAfter w:w="22" w:type="dxa"/>
          <w:cantSplit/>
          <w:trHeight w:val="2281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59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疫情防控和新冠疫苗接种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1.严格落实外省入邵返邵人员分类管控，严格落实重点场所疫情防控措施，严格规模性聚集，推送数据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核查、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管控率达到100%，确保本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不发生新冠病例；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2.全力推进同源加强和序贯加强免疫接种工作，继续做好3岁以上人群基础免疫接种，接种率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排名进位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夏向阳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卫健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局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各乡镇街道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欧定文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各乡镇街道行政一把手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鞠智丹</w:t>
            </w:r>
          </w:p>
        </w:tc>
      </w:tr>
      <w:tr>
        <w:trPr>
          <w:gridAfter w:val="1"/>
          <w:wAfter w:w="22" w:type="dxa"/>
          <w:cantSplit/>
          <w:trHeight w:val="3653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59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财政工作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1.防范化解政府债务风险：落实“一债一策”工作机制，确保本地区平台公司债务不违约、资金不断链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全面摸清本地区违规举债和虚假化债问题底数，列出问题清单，制定整改措施，明确整改完成期限，形成自查报告；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2.“三高四新”财源建设工程：①制定2022年财源建设工作要点②制定落实2022年财源建设真抓实干督查激励措施③制定区财源建设考核方案④通报一季度税收占GDP比重县市区排名；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3.完成年度财政收入工作：4月地方收入完成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市定任务数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吴方定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财政局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税务局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本级平台公司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何晓峰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刘浩涛</w:t>
            </w:r>
          </w:p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邓春花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黄欢庆蒋湘澎</w:t>
            </w:r>
          </w:p>
        </w:tc>
      </w:tr>
      <w:tr>
        <w:trPr>
          <w:gridAfter w:val="1"/>
          <w:wAfter w:w="22" w:type="dxa"/>
          <w:cantSplit/>
          <w:trHeight w:val="4026" w:hRule="atLeast"/>
          <w:jc w:val="center"/>
        </w:trPr>
        <w:tc>
          <w:tcPr>
            <w:tcW w:w="53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重点任务</w:t>
            </w:r>
          </w:p>
        </w:tc>
        <w:tc>
          <w:tcPr>
            <w:tcW w:w="4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59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污染防治攻坚战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.加快推进第二轮中央生态环保督察全省共性问题：（1）“农业面源污染管控不力”问题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开展培训3期、农企合作2家，完成测土配方施肥面积1万亩，完成有机肥替代0.5万亩，水肥一体化500亩、秸秆还田10000亩，推广商品有机肥应用1000亩，完成土壤采样50个，完成土壤化验数量300项次；</w:t>
            </w:r>
          </w:p>
          <w:p>
            <w:pPr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.深入推进“洞庭清波”专项监督其他问题：①乡镇污水处理设施建设问题</w:t>
            </w:r>
          </w:p>
          <w:p>
            <w:pPr>
              <w:pStyle w:val="11"/>
              <w:widowControl/>
              <w:shd w:val="clear" w:color="auto" w:fill="FFFFFF"/>
              <w:wordWrap/>
              <w:adjustRightIn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.针对垃圾填埋场省环保专项督察反馈问题和我市自查发现问题，落实《邵阳市针对省生态环境保护专项督察组反馈问题的整改方案》要求，4月15日前上报整改落实情况；</w:t>
            </w:r>
          </w:p>
          <w:p>
            <w:pPr>
              <w:wordWrap/>
              <w:adjustRightIn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.长江经济带问题整改：区完成整改工作方案的编制，并启动问题整改。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刘文兰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生态环境局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飞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陈慧明</w:t>
            </w:r>
          </w:p>
        </w:tc>
      </w:tr>
      <w:tr>
        <w:trPr>
          <w:gridAfter w:val="1"/>
          <w:wAfter w:w="22" w:type="dxa"/>
          <w:cantSplit/>
          <w:trHeight w:val="1781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9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月清“三地两矿”工作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line="300" w:lineRule="exact"/>
              <w:ind w:left="0" w:left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1.违法用地查处：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第十八批结案率在4月25日前达到90%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第二十一批立案率在4月25日前达到90%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违法用地整改率达到50%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坚决遏制新增，突出“零发生、零增长”；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.田长制工作：区按照党政同责要求，制定下发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级“田长制”实施方案（含宣传方案），出台考核制度，并组织实施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刘文兰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区自然资源局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乡镇街道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罗杰夫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乡镇街道行政一把手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王春龙</w:t>
            </w:r>
          </w:p>
        </w:tc>
      </w:tr>
      <w:tr>
        <w:trPr>
          <w:gridAfter w:val="1"/>
          <w:wAfter w:w="22" w:type="dxa"/>
          <w:cantSplit/>
          <w:trHeight w:val="1929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9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园区土地清理整顿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1.园区制定整改方案并审查通过；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2.按方案开展整改，4月份园区整改率均需达到10%。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闲置土地整改任务数：大祥产业开发区80.595亩；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完成园区批而未供土地整改任务。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吴方定刘文兰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区自然资源局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大祥产业集中区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农科园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罗杰夫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孙艳平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彭赤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 w:val="0"/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王春龙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钱正道李孝民</w:t>
            </w:r>
          </w:p>
        </w:tc>
      </w:tr>
      <w:tr>
        <w:trPr>
          <w:gridAfter w:val="1"/>
          <w:wAfter w:w="22" w:type="dxa"/>
          <w:cantSplit/>
          <w:trHeight w:val="1069" w:hRule="atLeast"/>
          <w:jc w:val="center"/>
        </w:trPr>
        <w:tc>
          <w:tcPr>
            <w:tcW w:w="53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重点任务</w:t>
            </w:r>
          </w:p>
        </w:tc>
        <w:tc>
          <w:tcPr>
            <w:tcW w:w="4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9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房地产办证遗留问题化解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1.税费追缴：市本级累计欠缴税费共8663万元，4月份完成追缴4332万元，其中大祥区1784.5万元。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2.项目化解：4月份大祥区完成2宗。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吴方定刘文兰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区自然资源局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区财政局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区税务局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罗杰夫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何晓峰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刘浩涛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王春龙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黄欢庆蒋湘澎</w:t>
            </w:r>
          </w:p>
        </w:tc>
      </w:tr>
      <w:tr>
        <w:trPr>
          <w:gridAfter w:val="1"/>
          <w:wAfter w:w="22" w:type="dxa"/>
          <w:cantSplit/>
          <w:trHeight w:val="2062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9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化解超期安置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.4月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大祥区交付65户，将取消建设项目的安置户置换到桂花桥东、雪峰桥南、西苑公园、城南、紫霞一期与紫霞二期、星湖花苑1-2栋、祥铁新苑等小区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.市自然资源和规划局、市住建局在4月20日之前完成站前4#、戴家片区31#等3宗安置地规划用地许可、规划工程许可、施工许可手续；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刘文兰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住建局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区自然资源局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徐日新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罗杰夫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钟  晖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王春龙</w:t>
            </w:r>
          </w:p>
        </w:tc>
      </w:tr>
      <w:tr>
        <w:trPr>
          <w:gridAfter w:val="1"/>
          <w:wAfter w:w="22" w:type="dxa"/>
          <w:cantSplit/>
          <w:trHeight w:val="445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9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乡镇污水处理厂建设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大祥区罗市镇污水处理厂全面完成扫尾工程，确保正常运行；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刘文兰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住建局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徐日新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钟  晖</w:t>
            </w:r>
          </w:p>
        </w:tc>
      </w:tr>
      <w:tr>
        <w:trPr>
          <w:gridAfter w:val="1"/>
          <w:wAfter w:w="22" w:type="dxa"/>
          <w:cantSplit/>
          <w:trHeight w:val="1599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9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粮食生产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早稻栽插任务，保证面积只增不减；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.完成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大豆播种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大豆玉米带状复合种植任务；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.示范片建设：完成市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级万亩粮食生产示范片，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级五千亩示范片，乡镇千亩示范片，村级百亩示范片示范面积的落实。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刘海龙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农业农村局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乡镇街道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李曙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军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乡镇街道行政一把手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欧阳潘</w:t>
            </w:r>
          </w:p>
        </w:tc>
      </w:tr>
      <w:tr>
        <w:trPr>
          <w:gridAfter w:val="1"/>
          <w:wAfter w:w="22" w:type="dxa"/>
          <w:cantSplit/>
          <w:trHeight w:val="90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9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城市污水处理管网及相关设施建设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完成大祥区南片区雨污分流及红旗渠污水处理厂调水工程（二期）管道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米；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唐兴辉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城管综合执法局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覃志军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邓毅敏</w:t>
            </w:r>
          </w:p>
        </w:tc>
      </w:tr>
      <w:tr>
        <w:trPr>
          <w:gridAfter w:val="1"/>
          <w:wAfter w:w="22" w:type="dxa"/>
          <w:cantSplit/>
          <w:trHeight w:val="898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9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全市外贸企业发展突出问题攻坚月工作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责任单位按照《全市“外贸企业发展突出问题攻坚月”活动相关单位责任清单》完成相关工作。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夏丹波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商务局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王小平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陈尧栩</w:t>
            </w:r>
          </w:p>
        </w:tc>
      </w:tr>
      <w:tr>
        <w:trPr>
          <w:gridAfter w:val="1"/>
          <w:wAfter w:w="22" w:type="dxa"/>
          <w:cantSplit/>
          <w:trHeight w:val="1180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/>
              <w:adjustRightIn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95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重点处理代表建议和政协重点提案办理工作</w:t>
            </w:r>
          </w:p>
        </w:tc>
        <w:tc>
          <w:tcPr>
            <w:tcW w:w="626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1.制定办理工作方案、办理事项落实清单及时间安排表；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2.4月23日之前，各重点处理代表建议会办单位完成会办工作，向有关主办单位报送会办意见。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吴方定</w:t>
            </w:r>
          </w:p>
        </w:tc>
        <w:tc>
          <w:tcPr>
            <w:tcW w:w="23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相关主办单位及会办单位</w:t>
            </w:r>
          </w:p>
        </w:tc>
        <w:tc>
          <w:tcPr>
            <w:tcW w:w="91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相关主办单位及会办单位负责人</w:t>
            </w:r>
          </w:p>
        </w:tc>
        <w:tc>
          <w:tcPr>
            <w:tcW w:w="80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2"/>
      </w:pPr>
    </w:p>
    <w:sectPr>
      <w:footerReference r:id="rId4" w:type="default"/>
      <w:pgSz w:w="16849" w:h="11922" w:orient="landscape"/>
      <w:pgMar w:top="1417" w:right="1417" w:bottom="1417" w:left="1417" w:header="0" w:footer="1134" w:gutter="0"/>
      <w:cols w:space="720" w:num="1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9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1"/>
    <w:qFormat/>
    <w:uiPriority w:val="0"/>
    <w:pPr>
      <w:spacing w:line="360" w:lineRule="auto"/>
      <w:jc w:val="center"/>
      <w:outlineLvl w:val="0"/>
    </w:pPr>
    <w:rPr>
      <w:rFonts w:hint="eastAsia" w:ascii="宋体" w:hAnsi="宋体" w:eastAsia="方正小标宋简体"/>
      <w:kern w:val="44"/>
      <w:sz w:val="44"/>
      <w:szCs w:val="48"/>
    </w:rPr>
  </w:style>
  <w:style w:type="character" w:default="1" w:styleId="12">
    <w:name w:val="Default Paragraph Font"/>
    <w:qFormat/>
    <w:uiPriority w:val="1"/>
  </w:style>
  <w:style w:type="paragraph" w:styleId="2">
    <w:name w:val="footer"/>
    <w:basedOn w:val="1"/>
    <w:next w:val="3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5">
    <w:name w:val="Normal Indent"/>
    <w:basedOn w:val="1"/>
    <w:qFormat/>
    <w:uiPriority w:val="99"/>
    <w:pPr>
      <w:ind w:firstLine="420" w:firstLineChars="200"/>
    </w:pPr>
    <w:rPr>
      <w:rFonts w:ascii="Times New Roman" w:hAnsi="Times New Roman" w:eastAsia="仿宋"/>
      <w:sz w:val="32"/>
      <w:szCs w:val="32"/>
    </w:rPr>
  </w:style>
  <w:style w:type="paragraph" w:styleId="6">
    <w:name w:val="toa heading"/>
    <w:basedOn w:val="1"/>
    <w:next w:val="1"/>
    <w:qFormat/>
    <w:uiPriority w:val="0"/>
    <w:pPr>
      <w:spacing w:line="276" w:lineRule="auto"/>
    </w:pPr>
    <w:rPr>
      <w:rFonts w:ascii="Arial" w:hAnsi="Arial"/>
      <w:sz w:val="24"/>
    </w:rPr>
  </w:style>
  <w:style w:type="paragraph" w:styleId="7">
    <w:name w:val="Body Text"/>
    <w:basedOn w:val="1"/>
    <w:qFormat/>
    <w:uiPriority w:val="0"/>
    <w:rPr>
      <w:rFonts w:eastAsia="仿宋_GB2312"/>
      <w:sz w:val="32"/>
    </w:rPr>
  </w:style>
  <w:style w:type="paragraph" w:styleId="8">
    <w:name w:val="Body Text Indent"/>
    <w:basedOn w:val="1"/>
    <w:next w:val="5"/>
    <w:qFormat/>
    <w:uiPriority w:val="0"/>
    <w:pPr>
      <w:ind w:left="420" w:leftChars="200"/>
    </w:pPr>
  </w:style>
  <w:style w:type="paragraph" w:styleId="9">
    <w:name w:val="Body Text First Indent 2"/>
    <w:basedOn w:val="8"/>
    <w:next w:val="1"/>
    <w:qFormat/>
    <w:uiPriority w:val="0"/>
    <w:pPr>
      <w:ind w:firstLine="420" w:firstLineChars="200"/>
    </w:p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customStyle="1" w:styleId="13">
    <w:name w:val="Index5"/>
    <w:basedOn w:val="1"/>
    <w:next w:val="1"/>
    <w:qFormat/>
    <w:uiPriority w:val="0"/>
    <w:pPr>
      <w:ind w:left="800" w:leftChars="800"/>
      <w:textAlignment w:val="baseline"/>
    </w:pPr>
  </w:style>
  <w:style w:type="paragraph" w:customStyle="1" w:styleId="14">
    <w:name w:val="NormalIndent"/>
    <w:qFormat/>
    <w:uiPriority w:val="0"/>
    <w:pPr>
      <w:widowControl w:val="0"/>
      <w:ind w:firstLine="420" w:firstLineChars="200"/>
      <w:jc w:val="both"/>
      <w:textAlignment w:val="baseline"/>
    </w:pPr>
    <w:rPr>
      <w:rFonts w:ascii="仿宋_GB2312" w:hAnsi="Times New Roman" w:eastAsia="宋体" w:cs="Times New Roman"/>
      <w:kern w:val="2"/>
      <w:sz w:val="30"/>
      <w:szCs w:val="30"/>
      <w:lang w:val="en-US" w:eastAsia="zh-CN" w:bidi="ar-SA"/>
    </w:rPr>
  </w:style>
  <w:style w:type="paragraph" w:customStyle="1" w:styleId="15">
    <w:name w:val="No Spacing_ad81b47b-6779-4c76-b471-79375858c8cb"/>
    <w:basedOn w:val="1"/>
    <w:qFormat/>
    <w:uiPriority w:val="0"/>
    <w:pPr>
      <w:ind w:firstLine="200" w:firstLineChars="200"/>
    </w:pPr>
    <w:rPr>
      <w:rFonts w:ascii="Times New Roman" w:hAnsi="Times New Roman" w:eastAsia="宋体" w:cs="宋体"/>
      <w:szCs w:val="21"/>
    </w:rPr>
  </w:style>
  <w:style w:type="paragraph" w:customStyle="1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index 5_6c4e2ab7-0c13-4b5f-b468-9656bd3943dd"/>
    <w:basedOn w:val="1"/>
    <w:next w:val="1"/>
    <w:qFormat/>
    <w:uiPriority w:val="0"/>
    <w:pPr>
      <w:ind w:left="800" w:leftChars="800"/>
    </w:p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paragraph" w:customStyle="1" w:styleId="19">
    <w:name w:val="UserStyle_1"/>
    <w:basedOn w:val="1"/>
    <w:next w:val="1"/>
    <w:qFormat/>
    <w:uiPriority w:val="0"/>
    <w:pPr>
      <w:ind w:left="1680"/>
      <w:textAlignment w:val="baseline"/>
    </w:pPr>
    <w:rPr>
      <w:rFonts w:ascii="Times New Roman" w:hAnsi="Times New Roman"/>
    </w:rPr>
  </w:style>
  <w:style w:type="paragraph" w:customStyle="1" w:styleId="20">
    <w:name w:val="Normal Indent1"/>
    <w:basedOn w:val="1"/>
    <w:qFormat/>
    <w:uiPriority w:val="0"/>
    <w:pPr>
      <w:ind w:firstLine="420" w:firstLineChars="200"/>
    </w:pPr>
  </w:style>
  <w:style w:type="character" w:customStyle="1" w:styleId="21">
    <w:name w:val="标题 1 字符"/>
    <w:basedOn w:val="12"/>
    <w:link w:val="4"/>
    <w:uiPriority w:val="0"/>
    <w:rPr>
      <w:rFonts w:ascii="宋体" w:hAnsi="宋体" w:eastAsia="方正小标宋简体" w:cs="宋体"/>
      <w:bCs/>
      <w:kern w:val="44"/>
      <w:sz w:val="44"/>
      <w:szCs w:val="44"/>
    </w:rPr>
  </w:style>
  <w:style w:type="character" w:customStyle="1" w:styleId="22">
    <w:name w:val="font2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3">
    <w:name w:val="页脚 字符"/>
    <w:basedOn w:val="12"/>
    <w:link w:val="2"/>
    <w:uiPriority w:val="99"/>
    <w:rPr>
      <w:rFonts w:ascii="Calibri" w:hAnsi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4147</Words>
  <Characters>4363</Characters>
  <Lines>0</Lines>
  <Paragraphs>607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2021-09-25T11:59:00Z</dcterms:created>
  <dc:creator>双鱼座</dc:creator>
  <cp:lastModifiedBy>Administrator</cp:lastModifiedBy>
  <cp:lastPrinted>2022-04-13T02:27:00Z</cp:lastPrinted>
  <dcterms:modified xsi:type="dcterms:W3CDTF">2022-04-14T03:55:06Z</dcterms:modified>
  <dc:title>大祥区人民政府2022年4月“三重点”任务清单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5A8BDF454BF94D4D8A3512B6C8596B13</vt:lpwstr>
  </property>
</Properties>
</file>