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b/>
          <w:bCs/>
          <w:color w:val="000000"/>
          <w:w w:val="65"/>
          <w:sz w:val="44"/>
          <w:szCs w:val="44"/>
        </w:rPr>
      </w:pPr>
      <w:bookmarkStart w:id="0" w:name="_GoBack"/>
      <w:bookmarkEnd w:id="0"/>
    </w:p>
    <w:p>
      <w:pPr>
        <w:jc w:val="center"/>
        <w:rPr>
          <w:rFonts w:ascii="方正小标宋简体" w:hAnsi="宋体" w:eastAsia="方正小标宋简体" w:cs="宋体"/>
          <w:b/>
          <w:bCs/>
          <w:color w:val="000000"/>
          <w:w w:val="65"/>
          <w:sz w:val="72"/>
          <w:szCs w:val="60"/>
        </w:rPr>
      </w:pPr>
      <w:r>
        <w:rPr>
          <w:rFonts w:hint="eastAsia" w:ascii="方正小标宋简体" w:hAnsi="宋体" w:eastAsia="方正小标宋简体" w:cs="宋体"/>
          <w:b/>
          <w:bCs/>
          <w:color w:val="000000"/>
          <w:w w:val="65"/>
          <w:sz w:val="72"/>
          <w:szCs w:val="60"/>
        </w:rPr>
        <w:t>邵阳市大祥区城市管理行政执法局</w:t>
      </w:r>
    </w:p>
    <w:p>
      <w:pPr>
        <w:spacing w:line="500" w:lineRule="exact"/>
        <w:jc w:val="center"/>
        <w:rPr>
          <w:rFonts w:ascii="方正小标宋简体" w:hAnsi="方正小标宋_GBK" w:eastAsia="方正小标宋简体" w:cs="方正小标宋_GBK"/>
          <w:b/>
          <w:color w:val="000000"/>
          <w:sz w:val="72"/>
          <w:szCs w:val="72"/>
        </w:rPr>
      </w:pPr>
    </w:p>
    <w:p>
      <w:pPr>
        <w:spacing w:line="500" w:lineRule="exact"/>
        <w:jc w:val="center"/>
        <w:rPr>
          <w:rFonts w:ascii="方正小标宋简体" w:hAnsi="方正小标宋_GBK" w:eastAsia="方正小标宋简体" w:cs="方正小标宋_GBK"/>
          <w:b/>
          <w:color w:val="000000"/>
          <w:sz w:val="72"/>
          <w:szCs w:val="72"/>
        </w:rPr>
      </w:pPr>
    </w:p>
    <w:p>
      <w:pPr>
        <w:spacing w:line="500" w:lineRule="exact"/>
        <w:jc w:val="center"/>
        <w:rPr>
          <w:rFonts w:ascii="方正小标宋简体" w:hAnsi="方正小标宋_GBK" w:eastAsia="方正小标宋简体" w:cs="方正小标宋_GBK"/>
          <w:b/>
          <w:color w:val="000000"/>
          <w:sz w:val="72"/>
          <w:szCs w:val="72"/>
        </w:rPr>
      </w:pPr>
    </w:p>
    <w:p>
      <w:pPr>
        <w:spacing w:line="480" w:lineRule="auto"/>
        <w:jc w:val="center"/>
        <w:rPr>
          <w:rFonts w:ascii="方正小标宋简体" w:hAnsi="方正小标宋_GBK" w:eastAsia="方正小标宋简体" w:cs="方正小标宋_GBK"/>
          <w:b/>
          <w:color w:val="000000"/>
          <w:sz w:val="110"/>
          <w:szCs w:val="110"/>
        </w:rPr>
      </w:pPr>
      <w:r>
        <w:rPr>
          <w:rFonts w:hint="eastAsia" w:ascii="方正小标宋简体" w:hAnsi="方正小标宋_GBK" w:eastAsia="方正小标宋简体" w:cs="方正小标宋_GBK"/>
          <w:b/>
          <w:color w:val="000000"/>
          <w:sz w:val="110"/>
          <w:szCs w:val="110"/>
        </w:rPr>
        <w:t>责</w:t>
      </w:r>
    </w:p>
    <w:p>
      <w:pPr>
        <w:spacing w:line="480" w:lineRule="auto"/>
        <w:jc w:val="center"/>
        <w:rPr>
          <w:rFonts w:ascii="方正小标宋简体" w:hAnsi="方正小标宋_GBK" w:eastAsia="方正小标宋简体" w:cs="方正小标宋_GBK"/>
          <w:b/>
          <w:color w:val="000000"/>
          <w:sz w:val="110"/>
          <w:szCs w:val="110"/>
        </w:rPr>
      </w:pPr>
      <w:r>
        <w:rPr>
          <w:rFonts w:hint="eastAsia" w:ascii="方正小标宋简体" w:hAnsi="方正小标宋_GBK" w:eastAsia="方正小标宋简体" w:cs="方正小标宋_GBK"/>
          <w:b/>
          <w:color w:val="000000"/>
          <w:sz w:val="110"/>
          <w:szCs w:val="110"/>
        </w:rPr>
        <w:t>任</w:t>
      </w:r>
    </w:p>
    <w:p>
      <w:pPr>
        <w:spacing w:line="480" w:lineRule="auto"/>
        <w:jc w:val="center"/>
        <w:rPr>
          <w:rFonts w:ascii="方正小标宋简体" w:hAnsi="方正小标宋_GBK" w:eastAsia="方正小标宋简体" w:cs="方正小标宋_GBK"/>
          <w:b/>
          <w:color w:val="000000"/>
          <w:sz w:val="110"/>
          <w:szCs w:val="110"/>
        </w:rPr>
      </w:pPr>
      <w:r>
        <w:rPr>
          <w:rFonts w:hint="eastAsia" w:ascii="方正小标宋简体" w:hAnsi="方正小标宋_GBK" w:eastAsia="方正小标宋简体" w:cs="方正小标宋_GBK"/>
          <w:b/>
          <w:color w:val="000000"/>
          <w:sz w:val="110"/>
          <w:szCs w:val="110"/>
        </w:rPr>
        <w:t>清</w:t>
      </w:r>
    </w:p>
    <w:p>
      <w:pPr>
        <w:spacing w:line="480" w:lineRule="auto"/>
        <w:jc w:val="center"/>
        <w:rPr>
          <w:rFonts w:ascii="方正小标宋简体" w:hAnsi="方正小标宋_GBK" w:eastAsia="方正小标宋简体" w:cs="方正小标宋_GBK"/>
          <w:b/>
          <w:color w:val="000000"/>
          <w:sz w:val="110"/>
          <w:szCs w:val="110"/>
        </w:rPr>
      </w:pPr>
      <w:r>
        <w:rPr>
          <w:rFonts w:hint="eastAsia" w:ascii="方正小标宋简体" w:hAnsi="方正小标宋_GBK" w:eastAsia="方正小标宋简体" w:cs="方正小标宋_GBK"/>
          <w:b/>
          <w:color w:val="000000"/>
          <w:sz w:val="110"/>
          <w:szCs w:val="110"/>
        </w:rPr>
        <w:t>单</w:t>
      </w:r>
    </w:p>
    <w:p>
      <w:pPr>
        <w:spacing w:line="500" w:lineRule="exact"/>
        <w:jc w:val="center"/>
        <w:rPr>
          <w:rFonts w:ascii="方正小标宋简体" w:hAnsi="方正小标宋_GBK" w:eastAsia="方正小标宋简体" w:cs="方正小标宋_GBK"/>
          <w:b/>
          <w:color w:val="000000"/>
          <w:sz w:val="72"/>
          <w:szCs w:val="72"/>
        </w:rPr>
      </w:pPr>
    </w:p>
    <w:p>
      <w:pPr>
        <w:spacing w:line="500" w:lineRule="exact"/>
        <w:jc w:val="center"/>
        <w:rPr>
          <w:rFonts w:ascii="方正小标宋简体" w:hAnsi="方正小标宋_GBK" w:eastAsia="方正小标宋简体" w:cs="方正小标宋_GBK"/>
          <w:b/>
          <w:color w:val="000000"/>
          <w:sz w:val="72"/>
          <w:szCs w:val="72"/>
        </w:rPr>
      </w:pPr>
    </w:p>
    <w:p>
      <w:pPr>
        <w:spacing w:line="500" w:lineRule="exact"/>
        <w:jc w:val="center"/>
        <w:rPr>
          <w:rFonts w:ascii="方正小标宋简体" w:hAnsi="方正小标宋_GBK" w:eastAsia="方正小标宋简体" w:cs="方正小标宋_GBK"/>
          <w:b/>
          <w:color w:val="000000"/>
          <w:sz w:val="72"/>
          <w:szCs w:val="72"/>
        </w:rPr>
      </w:pPr>
    </w:p>
    <w:p>
      <w:pPr>
        <w:spacing w:line="480" w:lineRule="auto"/>
        <w:jc w:val="center"/>
        <w:rPr>
          <w:rFonts w:ascii="楷体_GB2312" w:hAnsi="楷体" w:eastAsia="楷体_GB2312" w:cs="楷体"/>
          <w:b/>
          <w:color w:val="000000"/>
          <w:sz w:val="44"/>
          <w:szCs w:val="44"/>
        </w:rPr>
        <w:sectPr>
          <w:footerReference r:id="rId3" w:type="default"/>
          <w:footerReference r:id="rId4" w:type="even"/>
          <w:pgSz w:w="11906" w:h="16838"/>
          <w:pgMar w:top="1588" w:right="1588" w:bottom="1588" w:left="1588" w:header="851" w:footer="992" w:gutter="0"/>
          <w:cols w:space="425" w:num="1"/>
          <w:titlePg/>
          <w:docGrid w:type="lines" w:linePitch="312" w:charSpace="0"/>
        </w:sectPr>
      </w:pPr>
      <w:r>
        <w:rPr>
          <w:rFonts w:hint="eastAsia" w:ascii="楷体_GB2312" w:hAnsi="楷体" w:eastAsia="楷体_GB2312" w:cs="楷体"/>
          <w:b/>
          <w:color w:val="000000"/>
          <w:sz w:val="44"/>
          <w:szCs w:val="44"/>
        </w:rPr>
        <w:t>二Ο一五年</w:t>
      </w:r>
    </w:p>
    <w:p>
      <w:pPr>
        <w:jc w:val="center"/>
        <w:rPr>
          <w:rFonts w:ascii="方正大标宋简体" w:eastAsia="方正大标宋简体"/>
          <w:bCs/>
          <w:sz w:val="44"/>
          <w:szCs w:val="44"/>
        </w:rPr>
      </w:pPr>
      <w:r>
        <w:rPr>
          <w:rFonts w:hint="eastAsia" w:ascii="方正大标宋简体" w:eastAsia="方正大标宋简体"/>
          <w:bCs/>
          <w:sz w:val="44"/>
          <w:szCs w:val="44"/>
        </w:rPr>
        <w:t>目</w:t>
      </w:r>
      <w:r>
        <w:rPr>
          <w:rFonts w:ascii="方正大标宋简体" w:eastAsia="方正大标宋简体"/>
          <w:bCs/>
          <w:sz w:val="44"/>
          <w:szCs w:val="44"/>
        </w:rPr>
        <w:t xml:space="preserve">     </w:t>
      </w:r>
      <w:r>
        <w:rPr>
          <w:rFonts w:hint="eastAsia" w:ascii="方正大标宋简体" w:eastAsia="方正大标宋简体"/>
          <w:bCs/>
          <w:sz w:val="44"/>
          <w:szCs w:val="44"/>
        </w:rPr>
        <w:t>录</w:t>
      </w:r>
    </w:p>
    <w:p>
      <w:pPr>
        <w:rPr>
          <w:rFonts w:ascii="仿宋_GB2312" w:eastAsia="仿宋_GB2312"/>
          <w:sz w:val="32"/>
          <w:szCs w:val="32"/>
        </w:rPr>
      </w:pPr>
    </w:p>
    <w:p>
      <w:pPr>
        <w:spacing w:line="580" w:lineRule="exact"/>
        <w:rPr>
          <w:rFonts w:ascii="仿宋_GB2312" w:eastAsia="仿宋_GB2312"/>
          <w:sz w:val="32"/>
          <w:szCs w:val="32"/>
        </w:rPr>
      </w:pPr>
      <w:r>
        <w:rPr>
          <w:rFonts w:hint="eastAsia" w:ascii="仿宋_GB2312" w:eastAsia="仿宋_GB2312"/>
          <w:sz w:val="32"/>
          <w:szCs w:val="32"/>
        </w:rPr>
        <w:t>（一）部门职责……………………………………………</w:t>
      </w:r>
      <w:r>
        <w:rPr>
          <w:rFonts w:ascii="仿宋_GB2312" w:eastAsia="仿宋_GB2312"/>
          <w:sz w:val="32"/>
          <w:szCs w:val="32"/>
        </w:rPr>
        <w:t>286</w:t>
      </w:r>
    </w:p>
    <w:p>
      <w:pPr>
        <w:spacing w:line="580" w:lineRule="exact"/>
        <w:rPr>
          <w:rFonts w:ascii="仿宋_GB2312" w:eastAsia="仿宋_GB2312"/>
          <w:sz w:val="32"/>
          <w:szCs w:val="32"/>
        </w:rPr>
      </w:pPr>
      <w:r>
        <w:rPr>
          <w:rFonts w:hint="eastAsia" w:ascii="仿宋_GB2312" w:eastAsia="仿宋_GB2312"/>
          <w:sz w:val="32"/>
          <w:szCs w:val="32"/>
        </w:rPr>
        <w:t>（二）与相关部门的职责边界……………………………</w:t>
      </w:r>
      <w:r>
        <w:rPr>
          <w:rFonts w:ascii="仿宋_GB2312" w:eastAsia="仿宋_GB2312"/>
          <w:sz w:val="32"/>
          <w:szCs w:val="32"/>
        </w:rPr>
        <w:t>292</w:t>
      </w:r>
    </w:p>
    <w:p>
      <w:pPr>
        <w:spacing w:line="580" w:lineRule="exact"/>
        <w:rPr>
          <w:rFonts w:ascii="仿宋_GB2312" w:eastAsia="仿宋_GB2312"/>
          <w:sz w:val="32"/>
          <w:szCs w:val="32"/>
        </w:rPr>
      </w:pPr>
      <w:r>
        <w:rPr>
          <w:rFonts w:hint="eastAsia" w:ascii="仿宋_GB2312" w:eastAsia="仿宋_GB2312"/>
          <w:sz w:val="32"/>
          <w:szCs w:val="32"/>
        </w:rPr>
        <w:t>（三）事中事后监管制度…………………………………</w:t>
      </w:r>
      <w:r>
        <w:rPr>
          <w:rFonts w:ascii="仿宋_GB2312" w:eastAsia="仿宋_GB2312"/>
          <w:sz w:val="32"/>
          <w:szCs w:val="32"/>
        </w:rPr>
        <w:t>293</w:t>
      </w:r>
    </w:p>
    <w:p>
      <w:pPr>
        <w:numPr>
          <w:ilvl w:val="0"/>
          <w:numId w:val="1"/>
        </w:numPr>
        <w:spacing w:line="580" w:lineRule="exact"/>
        <w:rPr>
          <w:rFonts w:ascii="仿宋_GB2312" w:hAnsi="宋体" w:eastAsia="仿宋_GB2312"/>
          <w:sz w:val="32"/>
          <w:szCs w:val="32"/>
        </w:rPr>
      </w:pPr>
      <w:r>
        <w:rPr>
          <w:rFonts w:hint="eastAsia" w:ascii="仿宋_GB2312" w:hAnsi="宋体" w:eastAsia="仿宋_GB2312"/>
          <w:sz w:val="32"/>
          <w:szCs w:val="32"/>
        </w:rPr>
        <w:t>户外广告设施设置事项监管（小街小巷）</w:t>
      </w:r>
      <w:r>
        <w:rPr>
          <w:rFonts w:hint="eastAsia" w:ascii="仿宋_GB2312" w:eastAsia="仿宋_GB2312"/>
          <w:sz w:val="32"/>
          <w:szCs w:val="32"/>
        </w:rPr>
        <w:t>……………</w:t>
      </w:r>
      <w:r>
        <w:rPr>
          <w:rFonts w:ascii="仿宋_GB2312" w:eastAsia="仿宋_GB2312"/>
          <w:sz w:val="32"/>
          <w:szCs w:val="32"/>
        </w:rPr>
        <w:t>293</w:t>
      </w:r>
    </w:p>
    <w:p>
      <w:pPr>
        <w:numPr>
          <w:ilvl w:val="0"/>
          <w:numId w:val="1"/>
        </w:numPr>
        <w:spacing w:line="580" w:lineRule="exact"/>
        <w:rPr>
          <w:rFonts w:ascii="仿宋_GB2312" w:hAnsi="宋体" w:eastAsia="仿宋_GB2312"/>
          <w:sz w:val="32"/>
          <w:szCs w:val="32"/>
        </w:rPr>
      </w:pPr>
      <w:r>
        <w:rPr>
          <w:rFonts w:hint="eastAsia" w:ascii="仿宋_GB2312" w:eastAsia="仿宋_GB2312"/>
          <w:sz w:val="32"/>
          <w:szCs w:val="32"/>
        </w:rPr>
        <w:t>行政执法程序暂行规定…………………………………</w:t>
      </w:r>
      <w:r>
        <w:rPr>
          <w:rFonts w:ascii="仿宋_GB2312" w:eastAsia="仿宋_GB2312"/>
          <w:sz w:val="32"/>
          <w:szCs w:val="32"/>
        </w:rPr>
        <w:t>296</w:t>
      </w:r>
    </w:p>
    <w:p>
      <w:pPr>
        <w:numPr>
          <w:ilvl w:val="0"/>
          <w:numId w:val="1"/>
        </w:numPr>
        <w:spacing w:line="580" w:lineRule="exact"/>
        <w:rPr>
          <w:rFonts w:ascii="仿宋_GB2312" w:hAnsi="宋体" w:eastAsia="仿宋_GB2312"/>
          <w:sz w:val="32"/>
          <w:szCs w:val="32"/>
        </w:rPr>
      </w:pPr>
      <w:r>
        <w:rPr>
          <w:rFonts w:hint="eastAsia" w:ascii="仿宋_GB2312" w:eastAsia="仿宋_GB2312"/>
          <w:sz w:val="32"/>
          <w:szCs w:val="32"/>
        </w:rPr>
        <w:t>行政处罚裁量权规范……………………………………</w:t>
      </w:r>
      <w:r>
        <w:rPr>
          <w:rFonts w:ascii="仿宋_GB2312" w:eastAsia="仿宋_GB2312"/>
          <w:sz w:val="32"/>
          <w:szCs w:val="32"/>
        </w:rPr>
        <w:t>311</w:t>
      </w:r>
    </w:p>
    <w:p>
      <w:pPr>
        <w:spacing w:line="580" w:lineRule="exact"/>
        <w:rPr>
          <w:rFonts w:ascii="仿宋_GB2312" w:eastAsia="仿宋_GB2312"/>
          <w:sz w:val="32"/>
          <w:szCs w:val="32"/>
        </w:rPr>
      </w:pPr>
      <w:r>
        <w:rPr>
          <w:rFonts w:hint="eastAsia" w:ascii="仿宋_GB2312" w:eastAsia="仿宋_GB2312"/>
          <w:sz w:val="32"/>
          <w:szCs w:val="32"/>
        </w:rPr>
        <w:t>（四）公共服务事项………………………………………</w:t>
      </w:r>
      <w:r>
        <w:rPr>
          <w:rFonts w:ascii="仿宋_GB2312" w:eastAsia="仿宋_GB2312"/>
          <w:sz w:val="32"/>
          <w:szCs w:val="32"/>
        </w:rPr>
        <w:t>313</w:t>
      </w:r>
    </w:p>
    <w:p>
      <w:pPr>
        <w:spacing w:line="480" w:lineRule="auto"/>
        <w:jc w:val="center"/>
        <w:rPr>
          <w:rFonts w:ascii="楷体_GB2312" w:hAnsi="楷体" w:eastAsia="楷体_GB2312" w:cs="楷体"/>
          <w:b/>
          <w:color w:val="000000"/>
          <w:sz w:val="44"/>
          <w:szCs w:val="44"/>
        </w:rPr>
      </w:pPr>
    </w:p>
    <w:p>
      <w:pPr>
        <w:spacing w:line="480" w:lineRule="auto"/>
        <w:jc w:val="center"/>
        <w:rPr>
          <w:rFonts w:ascii="楷体_GB2312" w:hAnsi="楷体" w:eastAsia="楷体_GB2312" w:cs="楷体"/>
          <w:b/>
          <w:color w:val="000000"/>
          <w:sz w:val="44"/>
          <w:szCs w:val="44"/>
        </w:rPr>
      </w:pPr>
    </w:p>
    <w:p>
      <w:pPr>
        <w:spacing w:line="480" w:lineRule="auto"/>
        <w:jc w:val="center"/>
        <w:rPr>
          <w:rFonts w:ascii="楷体_GB2312" w:hAnsi="楷体" w:eastAsia="楷体_GB2312" w:cs="楷体"/>
          <w:b/>
          <w:color w:val="000000"/>
          <w:sz w:val="44"/>
          <w:szCs w:val="44"/>
        </w:rPr>
        <w:sectPr>
          <w:pgSz w:w="11906" w:h="16838"/>
          <w:pgMar w:top="1588" w:right="1588" w:bottom="1588" w:left="1588" w:header="851" w:footer="992" w:gutter="0"/>
          <w:cols w:space="425" w:num="1"/>
          <w:titlePg/>
          <w:docGrid w:type="lines" w:linePitch="312" w:charSpace="0"/>
        </w:sectPr>
      </w:pPr>
    </w:p>
    <w:p>
      <w:pPr>
        <w:spacing w:line="480" w:lineRule="auto"/>
        <w:jc w:val="center"/>
        <w:rPr>
          <w:rFonts w:ascii="方正小标宋简体" w:eastAsia="方正小标宋简体" w:cs="仿宋"/>
          <w:color w:val="000000"/>
          <w:sz w:val="44"/>
          <w:szCs w:val="44"/>
        </w:rPr>
      </w:pPr>
      <w:r>
        <w:rPr>
          <w:rFonts w:hint="eastAsia" w:ascii="方正小标宋简体" w:eastAsia="方正小标宋简体" w:cs="仿宋"/>
          <w:color w:val="000000"/>
          <w:sz w:val="44"/>
          <w:szCs w:val="44"/>
        </w:rPr>
        <w:t>一、部门职责</w:t>
      </w:r>
    </w:p>
    <w:p>
      <w:pPr>
        <w:spacing w:line="480" w:lineRule="auto"/>
        <w:jc w:val="left"/>
        <w:rPr>
          <w:rFonts w:ascii="仿宋_GB2312" w:eastAsia="仿宋_GB2312" w:cs="仿宋"/>
          <w:color w:val="000000"/>
          <w:sz w:val="32"/>
          <w:szCs w:val="32"/>
        </w:rPr>
      </w:pPr>
      <w:r>
        <w:rPr>
          <w:rFonts w:hint="eastAsia" w:ascii="仿宋_GB2312" w:hAnsi="宋体" w:eastAsia="仿宋_GB2312" w:cs="仿宋"/>
          <w:color w:val="000000"/>
          <w:sz w:val="32"/>
          <w:szCs w:val="32"/>
        </w:rPr>
        <w:t>部门名称（盖章）：大祥区城市管理行政执法局</w:t>
      </w:r>
      <w:r>
        <w:rPr>
          <w:rFonts w:ascii="仿宋_GB2312" w:hAnsi="宋体" w:eastAsia="仿宋_GB2312" w:cs="仿宋"/>
          <w:color w:val="000000"/>
          <w:sz w:val="32"/>
          <w:szCs w:val="32"/>
        </w:rPr>
        <w:t xml:space="preserve"> </w:t>
      </w:r>
    </w:p>
    <w:tbl>
      <w:tblPr>
        <w:tblStyle w:val="5"/>
        <w:tblW w:w="10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624"/>
        <w:gridCol w:w="765"/>
        <w:gridCol w:w="2389"/>
        <w:gridCol w:w="117"/>
        <w:gridCol w:w="963"/>
        <w:gridCol w:w="234"/>
        <w:gridCol w:w="1745"/>
        <w:gridCol w:w="153"/>
        <w:gridCol w:w="2216"/>
        <w:gridCol w:w="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1"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序号</w:t>
            </w:r>
          </w:p>
        </w:tc>
        <w:tc>
          <w:tcPr>
            <w:tcW w:w="624"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项目名称</w:t>
            </w:r>
          </w:p>
        </w:tc>
        <w:tc>
          <w:tcPr>
            <w:tcW w:w="765"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项目</w:t>
            </w:r>
          </w:p>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编码</w:t>
            </w:r>
          </w:p>
        </w:tc>
        <w:tc>
          <w:tcPr>
            <w:tcW w:w="2389"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责任事项</w:t>
            </w:r>
          </w:p>
        </w:tc>
        <w:tc>
          <w:tcPr>
            <w:tcW w:w="1314" w:type="dxa"/>
            <w:gridSpan w:val="3"/>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责任事项</w:t>
            </w:r>
          </w:p>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依据</w:t>
            </w:r>
          </w:p>
        </w:tc>
        <w:tc>
          <w:tcPr>
            <w:tcW w:w="1745"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追责情形</w:t>
            </w:r>
          </w:p>
        </w:tc>
        <w:tc>
          <w:tcPr>
            <w:tcW w:w="2369" w:type="dxa"/>
            <w:gridSpan w:val="2"/>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追责情形依据</w:t>
            </w:r>
          </w:p>
        </w:tc>
        <w:tc>
          <w:tcPr>
            <w:tcW w:w="508" w:type="dxa"/>
            <w:vAlign w:val="center"/>
          </w:tcPr>
          <w:p>
            <w:pPr>
              <w:spacing w:line="300" w:lineRule="exact"/>
              <w:jc w:val="center"/>
              <w:rPr>
                <w:rFonts w:ascii="黑体" w:hAnsi="宋体" w:eastAsia="黑体" w:cs="仿宋"/>
                <w:color w:val="000000"/>
                <w:kern w:val="0"/>
                <w:sz w:val="20"/>
                <w:szCs w:val="18"/>
              </w:rPr>
            </w:pPr>
            <w:r>
              <w:rPr>
                <w:rFonts w:hint="eastAsia" w:ascii="黑体" w:hAnsi="宋体" w:eastAsia="黑体" w:cs="仿宋"/>
                <w:color w:val="000000"/>
                <w:kern w:val="0"/>
                <w:sz w:val="20"/>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0" w:hRule="atLeast"/>
          <w:jc w:val="center"/>
        </w:trPr>
        <w:tc>
          <w:tcPr>
            <w:tcW w:w="511" w:type="dxa"/>
            <w:vAlign w:val="center"/>
          </w:tcPr>
          <w:p>
            <w:pPr>
              <w:widowControl/>
              <w:jc w:val="center"/>
              <w:textAlignment w:val="center"/>
              <w:rPr>
                <w:rFonts w:ascii="宋体" w:cs="仿宋"/>
                <w:color w:val="000000"/>
                <w:kern w:val="0"/>
                <w:sz w:val="20"/>
                <w:szCs w:val="18"/>
              </w:rPr>
            </w:pPr>
            <w:r>
              <w:rPr>
                <w:rFonts w:ascii="宋体" w:hAnsi="宋体" w:cs="黑体"/>
                <w:color w:val="000000"/>
                <w:kern w:val="0"/>
                <w:sz w:val="20"/>
                <w:szCs w:val="18"/>
              </w:rPr>
              <w:t>1</w:t>
            </w:r>
          </w:p>
        </w:tc>
        <w:tc>
          <w:tcPr>
            <w:tcW w:w="624" w:type="dxa"/>
            <w:vAlign w:val="center"/>
          </w:tcPr>
          <w:p>
            <w:pPr>
              <w:widowControl/>
              <w:jc w:val="center"/>
              <w:textAlignment w:val="center"/>
              <w:rPr>
                <w:rFonts w:ascii="宋体" w:cs="仿宋"/>
                <w:color w:val="000000"/>
                <w:kern w:val="0"/>
                <w:sz w:val="20"/>
                <w:szCs w:val="18"/>
              </w:rPr>
            </w:pPr>
            <w:r>
              <w:rPr>
                <w:rFonts w:hint="eastAsia" w:ascii="宋体" w:hAnsi="宋体" w:cs="黑体"/>
                <w:color w:val="000000"/>
                <w:kern w:val="0"/>
                <w:sz w:val="20"/>
                <w:szCs w:val="18"/>
              </w:rPr>
              <w:t>城区户外广告场地设置许可</w:t>
            </w:r>
          </w:p>
        </w:tc>
        <w:tc>
          <w:tcPr>
            <w:tcW w:w="765" w:type="dxa"/>
            <w:vAlign w:val="center"/>
          </w:tcPr>
          <w:p>
            <w:pPr>
              <w:widowControl/>
              <w:jc w:val="left"/>
              <w:textAlignment w:val="center"/>
              <w:rPr>
                <w:rFonts w:ascii="宋体" w:cs="仿宋"/>
                <w:color w:val="000000"/>
                <w:kern w:val="0"/>
                <w:sz w:val="20"/>
                <w:szCs w:val="18"/>
              </w:rPr>
            </w:pPr>
            <w:r>
              <w:rPr>
                <w:rFonts w:ascii="宋体" w:hAnsi="宋体" w:cs="黑体"/>
                <w:color w:val="000000"/>
                <w:kern w:val="0"/>
                <w:sz w:val="20"/>
                <w:szCs w:val="18"/>
              </w:rPr>
              <w:t>43050000629978-7A02Q</w:t>
            </w:r>
          </w:p>
        </w:tc>
        <w:tc>
          <w:tcPr>
            <w:tcW w:w="2389" w:type="dxa"/>
            <w:vAlign w:val="center"/>
          </w:tcPr>
          <w:p>
            <w:pPr>
              <w:widowControl/>
              <w:jc w:val="left"/>
              <w:textAlignment w:val="center"/>
              <w:rPr>
                <w:rFonts w:ascii="宋体" w:cs="宋体"/>
                <w:color w:val="000000"/>
                <w:kern w:val="0"/>
                <w:sz w:val="20"/>
                <w:szCs w:val="18"/>
              </w:rPr>
            </w:pPr>
            <w:r>
              <w:rPr>
                <w:rFonts w:ascii="宋体" w:hAnsi="宋体" w:cs="宋体"/>
                <w:b/>
                <w:bCs/>
                <w:color w:val="000000"/>
                <w:kern w:val="0"/>
                <w:sz w:val="20"/>
                <w:szCs w:val="18"/>
              </w:rPr>
              <w:t>1</w:t>
            </w:r>
            <w:r>
              <w:rPr>
                <w:rFonts w:hint="eastAsia" w:ascii="宋体" w:hAnsi="宋体" w:cs="宋体"/>
                <w:b/>
                <w:bCs/>
                <w:color w:val="000000"/>
                <w:kern w:val="0"/>
                <w:sz w:val="20"/>
                <w:szCs w:val="18"/>
              </w:rPr>
              <w:t>、受理阶段责任：</w:t>
            </w:r>
            <w:r>
              <w:rPr>
                <w:rFonts w:hint="eastAsia" w:ascii="宋体" w:hAnsi="宋体" w:cs="宋体"/>
                <w:color w:val="000000"/>
                <w:kern w:val="0"/>
                <w:sz w:val="20"/>
                <w:szCs w:val="18"/>
              </w:rPr>
              <w:t>公示依法应当提交的材料；初步审核申报材料；一次性告知补正材料；依法受理或不予受理（不予受理应当告知理由）。</w:t>
            </w:r>
            <w:r>
              <w:rPr>
                <w:rFonts w:ascii="宋体" w:cs="宋体"/>
                <w:color w:val="000000"/>
                <w:kern w:val="0"/>
                <w:sz w:val="20"/>
                <w:szCs w:val="18"/>
              </w:rPr>
              <w:br w:type="textWrapping"/>
            </w:r>
            <w:r>
              <w:rPr>
                <w:rFonts w:ascii="宋体" w:hAnsi="宋体" w:cs="宋体"/>
                <w:b/>
                <w:bCs/>
                <w:color w:val="000000"/>
                <w:kern w:val="0"/>
                <w:sz w:val="20"/>
                <w:szCs w:val="18"/>
              </w:rPr>
              <w:t>2</w:t>
            </w:r>
            <w:r>
              <w:rPr>
                <w:rFonts w:hint="eastAsia" w:ascii="宋体" w:hAnsi="宋体" w:cs="宋体"/>
                <w:b/>
                <w:bCs/>
                <w:color w:val="000000"/>
                <w:kern w:val="0"/>
                <w:sz w:val="20"/>
                <w:szCs w:val="18"/>
              </w:rPr>
              <w:t>、审查阶段责任：</w:t>
            </w:r>
            <w:r>
              <w:rPr>
                <w:rFonts w:hint="eastAsia" w:ascii="宋体" w:hAnsi="宋体" w:cs="宋体"/>
                <w:color w:val="000000"/>
                <w:kern w:val="0"/>
                <w:sz w:val="20"/>
                <w:szCs w:val="18"/>
              </w:rPr>
              <w:t>对申报材料审核，包括申请书、效果图、企业营业执照和身份证复印件等，结合实施依据提出审查意见，报首席代表审批。</w:t>
            </w:r>
            <w:r>
              <w:rPr>
                <w:rFonts w:ascii="宋体" w:cs="宋体"/>
                <w:color w:val="000000"/>
                <w:kern w:val="0"/>
                <w:sz w:val="20"/>
                <w:szCs w:val="18"/>
              </w:rPr>
              <w:br w:type="textWrapping"/>
            </w:r>
            <w:r>
              <w:rPr>
                <w:rFonts w:ascii="宋体" w:hAnsi="宋体" w:cs="宋体"/>
                <w:b/>
                <w:bCs/>
                <w:color w:val="000000"/>
                <w:kern w:val="0"/>
                <w:sz w:val="20"/>
                <w:szCs w:val="18"/>
              </w:rPr>
              <w:t>3</w:t>
            </w:r>
            <w:r>
              <w:rPr>
                <w:rFonts w:hint="eastAsia" w:ascii="宋体" w:hAnsi="宋体" w:cs="宋体"/>
                <w:b/>
                <w:bCs/>
                <w:color w:val="000000"/>
                <w:kern w:val="0"/>
                <w:sz w:val="20"/>
                <w:szCs w:val="18"/>
              </w:rPr>
              <w:t>、决定阶段责任：</w:t>
            </w:r>
            <w:r>
              <w:rPr>
                <w:rFonts w:hint="eastAsia" w:ascii="宋体" w:hAnsi="宋体" w:cs="宋体"/>
                <w:color w:val="000000"/>
                <w:kern w:val="0"/>
                <w:sz w:val="20"/>
                <w:szCs w:val="18"/>
              </w:rPr>
              <w:t>作出准予许可或不予许可的审批决定；按时办结；法定告知。</w:t>
            </w:r>
            <w:r>
              <w:rPr>
                <w:rFonts w:ascii="宋体" w:cs="宋体"/>
                <w:color w:val="000000"/>
                <w:kern w:val="0"/>
                <w:sz w:val="20"/>
                <w:szCs w:val="18"/>
              </w:rPr>
              <w:br w:type="textWrapping"/>
            </w:r>
            <w:r>
              <w:rPr>
                <w:rFonts w:ascii="宋体" w:hAnsi="宋体" w:cs="宋体"/>
                <w:b/>
                <w:bCs/>
                <w:color w:val="000000"/>
                <w:kern w:val="0"/>
                <w:sz w:val="20"/>
                <w:szCs w:val="18"/>
              </w:rPr>
              <w:t>4</w:t>
            </w:r>
            <w:r>
              <w:rPr>
                <w:rFonts w:hint="eastAsia" w:ascii="宋体" w:hAnsi="宋体" w:cs="宋体"/>
                <w:b/>
                <w:bCs/>
                <w:color w:val="000000"/>
                <w:kern w:val="0"/>
                <w:sz w:val="20"/>
                <w:szCs w:val="18"/>
              </w:rPr>
              <w:t>、送达阶段责任：</w:t>
            </w:r>
            <w:r>
              <w:rPr>
                <w:rFonts w:hint="eastAsia" w:ascii="宋体" w:hAnsi="宋体" w:cs="宋体"/>
                <w:color w:val="000000"/>
                <w:kern w:val="0"/>
                <w:sz w:val="20"/>
                <w:szCs w:val="18"/>
              </w:rPr>
              <w:t>准予许可的，制发行政许可决定书并送达；不予许可的，制发不予许可决定书并送达；信息公开。</w:t>
            </w:r>
            <w:r>
              <w:rPr>
                <w:rFonts w:ascii="宋体" w:cs="宋体"/>
                <w:color w:val="000000"/>
                <w:kern w:val="0"/>
                <w:sz w:val="20"/>
                <w:szCs w:val="18"/>
              </w:rPr>
              <w:br w:type="textWrapping"/>
            </w:r>
            <w:r>
              <w:rPr>
                <w:rFonts w:ascii="宋体" w:hAnsi="宋体" w:cs="宋体"/>
                <w:b/>
                <w:bCs/>
                <w:color w:val="000000"/>
                <w:kern w:val="0"/>
                <w:sz w:val="20"/>
                <w:szCs w:val="18"/>
              </w:rPr>
              <w:t>5</w:t>
            </w:r>
            <w:r>
              <w:rPr>
                <w:rFonts w:hint="eastAsia" w:ascii="宋体" w:hAnsi="宋体" w:cs="宋体"/>
                <w:b/>
                <w:bCs/>
                <w:color w:val="000000"/>
                <w:kern w:val="0"/>
                <w:sz w:val="20"/>
                <w:szCs w:val="18"/>
              </w:rPr>
              <w:t>、事后监管责任：</w:t>
            </w:r>
            <w:r>
              <w:rPr>
                <w:rFonts w:hint="eastAsia" w:ascii="宋体" w:hAnsi="宋体" w:cs="宋体"/>
                <w:color w:val="000000"/>
                <w:kern w:val="0"/>
                <w:sz w:val="20"/>
                <w:szCs w:val="18"/>
              </w:rPr>
              <w:t>加强批后监管，依法监督设置行为，维护市容市貌整洁优美。</w:t>
            </w:r>
          </w:p>
        </w:tc>
        <w:tc>
          <w:tcPr>
            <w:tcW w:w="1314" w:type="dxa"/>
            <w:gridSpan w:val="3"/>
            <w:vAlign w:val="center"/>
          </w:tcPr>
          <w:p>
            <w:pPr>
              <w:widowControl/>
              <w:textAlignment w:val="center"/>
              <w:rPr>
                <w:rFonts w:ascii="宋体" w:cs="宋体"/>
                <w:color w:val="000000"/>
                <w:kern w:val="0"/>
                <w:sz w:val="20"/>
                <w:szCs w:val="18"/>
              </w:rPr>
            </w:pPr>
            <w:r>
              <w:rPr>
                <w:rFonts w:ascii="宋体" w:hAnsi="宋体" w:cs="宋体"/>
                <w:color w:val="000000"/>
                <w:kern w:val="0"/>
                <w:sz w:val="20"/>
                <w:szCs w:val="18"/>
              </w:rPr>
              <w:t xml:space="preserve"> </w:t>
            </w:r>
            <w:r>
              <w:rPr>
                <w:rFonts w:hint="eastAsia" w:ascii="宋体" w:hAnsi="宋体" w:cs="宋体"/>
                <w:color w:val="000000"/>
                <w:kern w:val="0"/>
                <w:sz w:val="20"/>
                <w:szCs w:val="18"/>
              </w:rPr>
              <w:t>《中华人民共和国行政许可法》第二十九条、第三十条、第三十二条至第四十条、第四十九条、第五十条、第六十一条、第六十四条、第六十五条、第六十八条。</w:t>
            </w:r>
          </w:p>
        </w:tc>
        <w:tc>
          <w:tcPr>
            <w:tcW w:w="1745" w:type="dxa"/>
            <w:vAlign w:val="center"/>
          </w:tcPr>
          <w:p>
            <w:pPr>
              <w:widowControl/>
              <w:jc w:val="left"/>
              <w:textAlignment w:val="center"/>
              <w:rPr>
                <w:rFonts w:ascii="宋体" w:cs="宋体"/>
                <w:color w:val="000000"/>
                <w:kern w:val="0"/>
                <w:sz w:val="20"/>
                <w:szCs w:val="18"/>
              </w:rPr>
            </w:pPr>
            <w:r>
              <w:rPr>
                <w:rFonts w:hint="eastAsia" w:ascii="宋体" w:hAnsi="宋体" w:cs="宋体"/>
                <w:color w:val="000000"/>
                <w:kern w:val="0"/>
                <w:sz w:val="20"/>
                <w:szCs w:val="18"/>
              </w:rPr>
              <w:t>因不履行或不正确履行行政职责，有下列情形的，行政机关及相关工作人员应承担相应责任：</w:t>
            </w:r>
            <w:r>
              <w:rPr>
                <w:rFonts w:ascii="宋体" w:cs="宋体"/>
                <w:color w:val="000000"/>
                <w:kern w:val="0"/>
                <w:sz w:val="20"/>
                <w:szCs w:val="18"/>
              </w:rPr>
              <w:br w:type="textWrapping"/>
            </w:r>
            <w:r>
              <w:rPr>
                <w:rFonts w:ascii="宋体" w:hAnsi="宋体" w:cs="宋体"/>
                <w:color w:val="000000"/>
                <w:kern w:val="0"/>
                <w:sz w:val="20"/>
                <w:szCs w:val="18"/>
              </w:rPr>
              <w:t>1</w:t>
            </w:r>
            <w:r>
              <w:rPr>
                <w:rFonts w:hint="eastAsia" w:ascii="宋体" w:hAnsi="宋体" w:cs="宋体"/>
                <w:color w:val="000000"/>
                <w:kern w:val="0"/>
                <w:sz w:val="20"/>
                <w:szCs w:val="18"/>
              </w:rPr>
              <w:t>、对符合法定条件的申请不予受理的；不在办公场所公示依法应当公示的材料的；</w:t>
            </w:r>
            <w:r>
              <w:rPr>
                <w:rFonts w:ascii="宋体" w:hAnsi="宋体" w:cs="宋体"/>
                <w:color w:val="000000"/>
                <w:kern w:val="0"/>
                <w:sz w:val="20"/>
                <w:szCs w:val="18"/>
              </w:rPr>
              <w:t>2</w:t>
            </w:r>
            <w:r>
              <w:rPr>
                <w:rFonts w:hint="eastAsia" w:ascii="宋体" w:hAnsi="宋体" w:cs="宋体"/>
                <w:color w:val="000000"/>
                <w:kern w:val="0"/>
                <w:sz w:val="20"/>
                <w:szCs w:val="18"/>
              </w:rPr>
              <w:t>、对符合审批条件的申请不予受理、不予许可或者不在规定期限内作出准予许可决定的；</w:t>
            </w:r>
            <w:r>
              <w:rPr>
                <w:rFonts w:ascii="宋体" w:hAnsi="宋体" w:cs="宋体"/>
                <w:color w:val="000000"/>
                <w:kern w:val="0"/>
                <w:sz w:val="20"/>
                <w:szCs w:val="18"/>
              </w:rPr>
              <w:t>3</w:t>
            </w:r>
            <w:r>
              <w:rPr>
                <w:rFonts w:hint="eastAsia" w:ascii="宋体" w:hAnsi="宋体" w:cs="宋体"/>
                <w:color w:val="000000"/>
                <w:kern w:val="0"/>
                <w:sz w:val="20"/>
                <w:szCs w:val="18"/>
              </w:rPr>
              <w:t>、对不符合审批条件的申请准予许可或者超越法定权限作出准予许可决定的；</w:t>
            </w:r>
            <w:r>
              <w:rPr>
                <w:rFonts w:ascii="宋体" w:hAnsi="宋体" w:cs="宋体"/>
                <w:color w:val="000000"/>
                <w:kern w:val="0"/>
                <w:sz w:val="20"/>
                <w:szCs w:val="18"/>
              </w:rPr>
              <w:t>4</w:t>
            </w:r>
            <w:r>
              <w:rPr>
                <w:rFonts w:hint="eastAsia" w:ascii="宋体" w:hAnsi="宋体" w:cs="宋体"/>
                <w:color w:val="000000"/>
                <w:kern w:val="0"/>
                <w:sz w:val="20"/>
                <w:szCs w:val="18"/>
              </w:rPr>
              <w:t>、不按规定的审批流程受理、审查、审批设置大型户外广告和悬挂张贴宣传品的；</w:t>
            </w:r>
            <w:r>
              <w:rPr>
                <w:rFonts w:ascii="宋体" w:hAnsi="宋体" w:cs="宋体"/>
                <w:color w:val="000000"/>
                <w:kern w:val="0"/>
                <w:sz w:val="20"/>
                <w:szCs w:val="18"/>
              </w:rPr>
              <w:t>5</w:t>
            </w:r>
            <w:r>
              <w:rPr>
                <w:rFonts w:hint="eastAsia" w:ascii="宋体" w:hAnsi="宋体" w:cs="宋体"/>
                <w:color w:val="000000"/>
                <w:kern w:val="0"/>
                <w:sz w:val="20"/>
                <w:szCs w:val="18"/>
              </w:rPr>
              <w:t>、在许可审批过程中违法收取费用的；</w:t>
            </w:r>
            <w:r>
              <w:rPr>
                <w:rFonts w:ascii="宋体" w:hAnsi="宋体" w:cs="宋体"/>
                <w:color w:val="000000"/>
                <w:kern w:val="0"/>
                <w:sz w:val="20"/>
                <w:szCs w:val="18"/>
              </w:rPr>
              <w:t>6</w:t>
            </w:r>
            <w:r>
              <w:rPr>
                <w:rFonts w:hint="eastAsia" w:ascii="宋体" w:hAnsi="宋体" w:cs="宋体"/>
                <w:color w:val="000000"/>
                <w:kern w:val="0"/>
                <w:sz w:val="20"/>
                <w:szCs w:val="18"/>
              </w:rPr>
              <w:t>、收受贿赂，或者为他人谋取不正当利益提供方便的；</w:t>
            </w:r>
            <w:r>
              <w:rPr>
                <w:rFonts w:ascii="宋体" w:hAnsi="宋体" w:cs="宋体"/>
                <w:color w:val="000000"/>
                <w:kern w:val="0"/>
                <w:sz w:val="20"/>
                <w:szCs w:val="18"/>
              </w:rPr>
              <w:t>7</w:t>
            </w:r>
            <w:r>
              <w:rPr>
                <w:rFonts w:hint="eastAsia" w:ascii="宋体" w:hAnsi="宋体" w:cs="宋体"/>
                <w:color w:val="000000"/>
                <w:kern w:val="0"/>
                <w:sz w:val="20"/>
                <w:szCs w:val="18"/>
              </w:rPr>
              <w:t>、其他违反法律法规规章文件规定的。</w:t>
            </w:r>
          </w:p>
        </w:tc>
        <w:tc>
          <w:tcPr>
            <w:tcW w:w="2369" w:type="dxa"/>
            <w:gridSpan w:val="2"/>
            <w:vAlign w:val="center"/>
          </w:tcPr>
          <w:p>
            <w:pPr>
              <w:widowControl/>
              <w:spacing w:line="250" w:lineRule="exact"/>
              <w:textAlignment w:val="center"/>
              <w:rPr>
                <w:rFonts w:ascii="宋体" w:cs="宋体"/>
                <w:color w:val="000000"/>
                <w:kern w:val="0"/>
                <w:sz w:val="20"/>
                <w:szCs w:val="18"/>
              </w:rPr>
            </w:pPr>
            <w:r>
              <w:rPr>
                <w:rFonts w:ascii="宋体" w:hAnsi="宋体" w:cs="宋体"/>
                <w:color w:val="000000"/>
                <w:kern w:val="0"/>
                <w:sz w:val="20"/>
                <w:szCs w:val="18"/>
              </w:rPr>
              <w:t>1.</w:t>
            </w:r>
            <w:r>
              <w:rPr>
                <w:rFonts w:hint="eastAsia" w:ascii="宋体" w:hAnsi="宋体" w:cs="宋体"/>
                <w:color w:val="000000"/>
                <w:kern w:val="0"/>
                <w:sz w:val="20"/>
                <w:szCs w:val="18"/>
              </w:rPr>
              <w:t>《中华人民共和国行政许可法》（主席令第</w:t>
            </w:r>
            <w:r>
              <w:rPr>
                <w:rFonts w:ascii="宋体" w:hAnsi="宋体" w:cs="宋体"/>
                <w:color w:val="000000"/>
                <w:kern w:val="0"/>
                <w:sz w:val="20"/>
                <w:szCs w:val="18"/>
              </w:rPr>
              <w:t>7</w:t>
            </w:r>
            <w:r>
              <w:rPr>
                <w:rFonts w:hint="eastAsia" w:ascii="宋体" w:hAnsi="宋体" w:cs="宋体"/>
                <w:color w:val="000000"/>
                <w:kern w:val="0"/>
                <w:sz w:val="20"/>
                <w:szCs w:val="18"/>
              </w:rPr>
              <w:t>号）六十条、六十一条、六十九条、七十一条至七十七条；</w:t>
            </w:r>
            <w:r>
              <w:rPr>
                <w:rFonts w:ascii="宋体" w:hAnsi="宋体" w:cs="宋体"/>
                <w:color w:val="000000"/>
                <w:kern w:val="0"/>
                <w:sz w:val="20"/>
                <w:szCs w:val="18"/>
              </w:rPr>
              <w:t>2.</w:t>
            </w:r>
            <w:r>
              <w:rPr>
                <w:rFonts w:hint="eastAsia" w:ascii="宋体" w:hAnsi="宋体" w:cs="宋体"/>
                <w:color w:val="000000"/>
                <w:kern w:val="0"/>
                <w:sz w:val="20"/>
                <w:szCs w:val="18"/>
              </w:rPr>
              <w:t>依据湖南省实施《中华人民共和国广告法办法》第三十六条：有关行政管理部门的工作人员玩忽职守、滥用职权、徇私舞弊，不构成犯罪的，依法给予行政处分；构成犯罪的，依法追究刑事责任。行政管理机关作出违法的具体行为，造成广告主、广告经营者、广告发布者经济损失的，应当依法承担赔偿责任。</w:t>
            </w:r>
            <w:r>
              <w:rPr>
                <w:rFonts w:ascii="宋体" w:hAnsi="宋体" w:cs="宋体"/>
                <w:color w:val="000000"/>
                <w:kern w:val="0"/>
                <w:sz w:val="20"/>
                <w:szCs w:val="18"/>
              </w:rPr>
              <w:t>3.</w:t>
            </w:r>
            <w:r>
              <w:rPr>
                <w:rFonts w:hint="eastAsia" w:ascii="宋体" w:hAnsi="宋体" w:cs="宋体"/>
                <w:color w:val="000000"/>
                <w:kern w:val="0"/>
                <w:sz w:val="20"/>
                <w:szCs w:val="18"/>
              </w:rPr>
              <w:t>根据《邵阳市城区户外广告设置管理暂行办法》第二十六条：违反本办法第十二条规定，未通过招标、拍卖等公开竞争方式处置户外广告设置位置使用权的，依法追究相关责任人员的行政责任。第二十七条：城区户外广告管理部门工作人员玩忽职守、滥用职权、徇私舞弊的，由主管部门给予行政处分；构成犯罪的，依法追究刑事责任。因违法审查、登记致使户外广告被拆除，造成当事人经济损失的，由有关责任单位予以赔偿。</w:t>
            </w:r>
          </w:p>
        </w:tc>
        <w:tc>
          <w:tcPr>
            <w:tcW w:w="508"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街</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4" w:hRule="atLeast"/>
          <w:jc w:val="center"/>
        </w:trPr>
        <w:tc>
          <w:tcPr>
            <w:tcW w:w="511" w:type="dxa"/>
            <w:vAlign w:val="center"/>
          </w:tcPr>
          <w:p>
            <w:pPr>
              <w:widowControl/>
              <w:jc w:val="center"/>
              <w:textAlignment w:val="center"/>
              <w:rPr>
                <w:rFonts w:ascii="宋体" w:cs="仿宋"/>
                <w:color w:val="000000"/>
                <w:kern w:val="0"/>
                <w:sz w:val="20"/>
                <w:szCs w:val="18"/>
              </w:rPr>
            </w:pPr>
            <w:r>
              <w:rPr>
                <w:rFonts w:ascii="宋体" w:hAnsi="宋体" w:cs="黑体"/>
                <w:color w:val="000000"/>
                <w:kern w:val="0"/>
                <w:sz w:val="20"/>
                <w:szCs w:val="18"/>
              </w:rPr>
              <w:t>2</w:t>
            </w:r>
          </w:p>
        </w:tc>
        <w:tc>
          <w:tcPr>
            <w:tcW w:w="624"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城市占用挖掘道路许可</w:t>
            </w:r>
          </w:p>
        </w:tc>
        <w:tc>
          <w:tcPr>
            <w:tcW w:w="765" w:type="dxa"/>
            <w:vAlign w:val="center"/>
          </w:tcPr>
          <w:p>
            <w:pPr>
              <w:widowControl/>
              <w:jc w:val="center"/>
              <w:textAlignment w:val="center"/>
              <w:rPr>
                <w:rFonts w:ascii="宋体" w:hAnsi="宋体" w:cs="宋体"/>
                <w:color w:val="000000"/>
                <w:kern w:val="0"/>
                <w:sz w:val="20"/>
                <w:szCs w:val="18"/>
              </w:rPr>
            </w:pPr>
            <w:r>
              <w:rPr>
                <w:rFonts w:ascii="宋体" w:hAnsi="宋体" w:cs="宋体"/>
                <w:color w:val="000000"/>
                <w:kern w:val="0"/>
                <w:sz w:val="20"/>
                <w:szCs w:val="18"/>
              </w:rPr>
              <w:t>43050000629978-7A03G</w:t>
            </w:r>
          </w:p>
        </w:tc>
        <w:tc>
          <w:tcPr>
            <w:tcW w:w="2389" w:type="dxa"/>
            <w:vAlign w:val="center"/>
          </w:tcPr>
          <w:p>
            <w:pPr>
              <w:widowControl/>
              <w:numPr>
                <w:ilvl w:val="0"/>
                <w:numId w:val="2"/>
              </w:numPr>
              <w:spacing w:line="360" w:lineRule="exact"/>
              <w:jc w:val="left"/>
              <w:textAlignment w:val="center"/>
              <w:rPr>
                <w:rFonts w:ascii="宋体" w:cs="宋体"/>
                <w:color w:val="000000"/>
                <w:kern w:val="0"/>
                <w:sz w:val="20"/>
                <w:szCs w:val="18"/>
              </w:rPr>
            </w:pPr>
            <w:r>
              <w:rPr>
                <w:rFonts w:hint="eastAsia" w:ascii="宋体" w:hAnsi="宋体" w:cs="宋体"/>
                <w:b/>
                <w:bCs/>
                <w:color w:val="000000"/>
                <w:kern w:val="0"/>
                <w:sz w:val="20"/>
                <w:szCs w:val="18"/>
              </w:rPr>
              <w:t>受理阶段责任：</w:t>
            </w:r>
            <w:r>
              <w:rPr>
                <w:rFonts w:hint="eastAsia" w:ascii="宋体" w:hAnsi="宋体" w:cs="宋体"/>
                <w:color w:val="000000"/>
                <w:kern w:val="0"/>
                <w:sz w:val="20"/>
                <w:szCs w:val="18"/>
              </w:rPr>
              <w:t>公示依法应当提交的材料；初步审核申报材料；一次性告知补正材料；依法受理或不予受理（不予受理应当告知理由）。</w:t>
            </w:r>
          </w:p>
          <w:p>
            <w:pPr>
              <w:widowControl/>
              <w:numPr>
                <w:ilvl w:val="0"/>
                <w:numId w:val="2"/>
              </w:numPr>
              <w:spacing w:line="360" w:lineRule="exact"/>
              <w:jc w:val="left"/>
              <w:textAlignment w:val="center"/>
              <w:rPr>
                <w:rFonts w:ascii="宋体" w:cs="宋体"/>
                <w:color w:val="000000"/>
                <w:kern w:val="0"/>
                <w:sz w:val="20"/>
                <w:szCs w:val="18"/>
              </w:rPr>
            </w:pPr>
            <w:r>
              <w:rPr>
                <w:rFonts w:hint="eastAsia" w:ascii="宋体" w:hAnsi="宋体" w:cs="宋体"/>
                <w:b/>
                <w:bCs/>
                <w:color w:val="000000"/>
                <w:kern w:val="0"/>
                <w:sz w:val="20"/>
                <w:szCs w:val="18"/>
              </w:rPr>
              <w:t>审查阶段责任：</w:t>
            </w:r>
            <w:r>
              <w:rPr>
                <w:rFonts w:hint="eastAsia" w:ascii="宋体" w:hAnsi="宋体" w:cs="宋体"/>
                <w:color w:val="000000"/>
                <w:kern w:val="0"/>
                <w:sz w:val="20"/>
                <w:szCs w:val="18"/>
              </w:rPr>
              <w:t>对申报材料审核，包括申请书、效果图、企业营业执照和身份证复印件等，结合实施依据提出审查意见，报首席代表审批。</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3</w:t>
            </w:r>
            <w:r>
              <w:rPr>
                <w:rFonts w:hint="eastAsia" w:ascii="宋体" w:hAnsi="宋体" w:cs="宋体"/>
                <w:b/>
                <w:bCs/>
                <w:color w:val="000000"/>
                <w:kern w:val="0"/>
                <w:sz w:val="20"/>
                <w:szCs w:val="18"/>
              </w:rPr>
              <w:t>、决定阶段责任：</w:t>
            </w:r>
            <w:r>
              <w:rPr>
                <w:rFonts w:hint="eastAsia" w:ascii="宋体" w:hAnsi="宋体" w:cs="宋体"/>
                <w:color w:val="000000"/>
                <w:kern w:val="0"/>
                <w:sz w:val="20"/>
                <w:szCs w:val="18"/>
              </w:rPr>
              <w:t>作出准予许可或不予许可的审批决定；按时办结；法定告知。</w:t>
            </w:r>
          </w:p>
          <w:p>
            <w:pPr>
              <w:widowControl/>
              <w:numPr>
                <w:ilvl w:val="0"/>
                <w:numId w:val="3"/>
              </w:numPr>
              <w:spacing w:line="360" w:lineRule="exact"/>
              <w:jc w:val="left"/>
              <w:textAlignment w:val="center"/>
              <w:rPr>
                <w:rFonts w:ascii="宋体" w:cs="宋体"/>
                <w:color w:val="000000"/>
                <w:kern w:val="0"/>
                <w:sz w:val="20"/>
                <w:szCs w:val="18"/>
              </w:rPr>
            </w:pPr>
            <w:r>
              <w:rPr>
                <w:rFonts w:hint="eastAsia" w:ascii="宋体" w:hAnsi="宋体" w:cs="宋体"/>
                <w:b/>
                <w:bCs/>
                <w:color w:val="000000"/>
                <w:kern w:val="0"/>
                <w:sz w:val="20"/>
                <w:szCs w:val="18"/>
              </w:rPr>
              <w:t>送达阶段责任：</w:t>
            </w:r>
            <w:r>
              <w:rPr>
                <w:rFonts w:hint="eastAsia" w:ascii="宋体" w:hAnsi="宋体" w:cs="宋体"/>
                <w:color w:val="000000"/>
                <w:kern w:val="0"/>
                <w:sz w:val="20"/>
                <w:szCs w:val="18"/>
              </w:rPr>
              <w:t>准予许可的，制发行政许可决定书并送达；不予许可的，制发不予许可决定书并送达；信息公开。</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5</w:t>
            </w:r>
            <w:r>
              <w:rPr>
                <w:rFonts w:hint="eastAsia" w:ascii="宋体" w:hAnsi="宋体" w:cs="宋体"/>
                <w:b/>
                <w:bCs/>
                <w:color w:val="000000"/>
                <w:kern w:val="0"/>
                <w:sz w:val="20"/>
                <w:szCs w:val="18"/>
              </w:rPr>
              <w:t>、事后监管责任：</w:t>
            </w:r>
            <w:r>
              <w:rPr>
                <w:rFonts w:hint="eastAsia" w:ascii="宋体" w:hAnsi="宋体" w:cs="宋体"/>
                <w:color w:val="000000"/>
                <w:kern w:val="0"/>
                <w:sz w:val="20"/>
                <w:szCs w:val="18"/>
              </w:rPr>
              <w:t>加强批后监管，依法监督处置行为，维护城市道路干净整洁。</w:t>
            </w:r>
          </w:p>
        </w:tc>
        <w:tc>
          <w:tcPr>
            <w:tcW w:w="1314" w:type="dxa"/>
            <w:gridSpan w:val="3"/>
            <w:vAlign w:val="center"/>
          </w:tcPr>
          <w:p>
            <w:pPr>
              <w:widowControl/>
              <w:spacing w:line="360" w:lineRule="exact"/>
              <w:textAlignment w:val="center"/>
              <w:rPr>
                <w:rFonts w:ascii="宋体" w:cs="宋体"/>
                <w:color w:val="000000"/>
                <w:kern w:val="0"/>
                <w:sz w:val="20"/>
                <w:szCs w:val="18"/>
              </w:rPr>
            </w:pPr>
            <w:r>
              <w:rPr>
                <w:rFonts w:ascii="宋体" w:hAnsi="宋体" w:cs="宋体"/>
                <w:color w:val="000000"/>
                <w:kern w:val="0"/>
                <w:sz w:val="20"/>
                <w:szCs w:val="18"/>
              </w:rPr>
              <w:t xml:space="preserve"> </w:t>
            </w:r>
            <w:r>
              <w:rPr>
                <w:rFonts w:hint="eastAsia" w:ascii="宋体" w:hAnsi="宋体" w:cs="宋体"/>
                <w:color w:val="000000"/>
                <w:kern w:val="0"/>
                <w:sz w:val="20"/>
                <w:szCs w:val="18"/>
              </w:rPr>
              <w:t>《中华人民共和国行政许可法》第二十九条、第三十条、第三十二条至第四十条、第四十九条、第五十条、第六十一条、第六十四条、第六十五条、第六十八条。</w:t>
            </w:r>
          </w:p>
        </w:tc>
        <w:tc>
          <w:tcPr>
            <w:tcW w:w="1745" w:type="dxa"/>
            <w:vAlign w:val="center"/>
          </w:tcPr>
          <w:p>
            <w:pPr>
              <w:widowControl/>
              <w:spacing w:line="360" w:lineRule="exact"/>
              <w:jc w:val="left"/>
              <w:textAlignment w:val="center"/>
              <w:rPr>
                <w:rFonts w:ascii="宋体" w:cs="宋体"/>
                <w:color w:val="000000"/>
                <w:kern w:val="0"/>
                <w:sz w:val="20"/>
                <w:szCs w:val="18"/>
              </w:rPr>
            </w:pPr>
            <w:r>
              <w:rPr>
                <w:rFonts w:hint="eastAsia" w:ascii="宋体" w:hAnsi="宋体" w:cs="宋体"/>
                <w:color w:val="000000"/>
                <w:kern w:val="0"/>
                <w:sz w:val="20"/>
                <w:szCs w:val="18"/>
              </w:rPr>
              <w:t>因不履行或不正确履行行政职责，有下列情形的，行政机关及相关工作人员应承担相应责任：</w:t>
            </w:r>
            <w:r>
              <w:rPr>
                <w:rFonts w:ascii="宋体" w:cs="宋体"/>
                <w:color w:val="000000"/>
                <w:kern w:val="0"/>
                <w:sz w:val="20"/>
                <w:szCs w:val="18"/>
              </w:rPr>
              <w:br w:type="textWrapping"/>
            </w:r>
            <w:r>
              <w:rPr>
                <w:rFonts w:ascii="宋体" w:hAnsi="宋体" w:cs="宋体"/>
                <w:color w:val="000000"/>
                <w:kern w:val="0"/>
                <w:sz w:val="20"/>
                <w:szCs w:val="18"/>
              </w:rPr>
              <w:t>1</w:t>
            </w:r>
            <w:r>
              <w:rPr>
                <w:rFonts w:hint="eastAsia" w:ascii="宋体" w:hAnsi="宋体" w:cs="宋体"/>
                <w:color w:val="000000"/>
                <w:kern w:val="0"/>
                <w:sz w:val="20"/>
                <w:szCs w:val="18"/>
              </w:rPr>
              <w:t>、对符合法定条件的申请不予受理的；不在办公场所公示依法应当公示的材料的；</w:t>
            </w:r>
            <w:r>
              <w:rPr>
                <w:rFonts w:ascii="宋体" w:hAnsi="宋体" w:cs="宋体"/>
                <w:color w:val="000000"/>
                <w:kern w:val="0"/>
                <w:sz w:val="20"/>
                <w:szCs w:val="18"/>
              </w:rPr>
              <w:t>2</w:t>
            </w:r>
            <w:r>
              <w:rPr>
                <w:rFonts w:hint="eastAsia" w:ascii="宋体" w:hAnsi="宋体" w:cs="宋体"/>
                <w:color w:val="000000"/>
                <w:kern w:val="0"/>
                <w:sz w:val="20"/>
                <w:szCs w:val="18"/>
              </w:rPr>
              <w:t>、对符合审批条件的申请不予受理、不予许可或者不在规定期限内作出准予许可决定的；</w:t>
            </w:r>
            <w:r>
              <w:rPr>
                <w:rFonts w:ascii="宋体" w:hAnsi="宋体" w:cs="宋体"/>
                <w:color w:val="000000"/>
                <w:kern w:val="0"/>
                <w:sz w:val="20"/>
                <w:szCs w:val="18"/>
              </w:rPr>
              <w:t>3</w:t>
            </w:r>
            <w:r>
              <w:rPr>
                <w:rFonts w:hint="eastAsia" w:ascii="宋体" w:hAnsi="宋体" w:cs="宋体"/>
                <w:color w:val="000000"/>
                <w:kern w:val="0"/>
                <w:sz w:val="20"/>
                <w:szCs w:val="18"/>
              </w:rPr>
              <w:t>、对不符合审批条件的申请准予许可或者超越法定权限作出准予许可决定的；</w:t>
            </w:r>
            <w:r>
              <w:rPr>
                <w:rFonts w:ascii="宋体" w:hAnsi="宋体" w:cs="宋体"/>
                <w:color w:val="000000"/>
                <w:kern w:val="0"/>
                <w:sz w:val="20"/>
                <w:szCs w:val="18"/>
              </w:rPr>
              <w:t>4</w:t>
            </w:r>
            <w:r>
              <w:rPr>
                <w:rFonts w:hint="eastAsia" w:ascii="宋体" w:hAnsi="宋体" w:cs="宋体"/>
                <w:color w:val="000000"/>
                <w:kern w:val="0"/>
                <w:sz w:val="20"/>
                <w:szCs w:val="18"/>
              </w:rPr>
              <w:t>、不按规定的审批流程受理、审查、审批运输、倾倒、建筑垃圾的；</w:t>
            </w:r>
            <w:r>
              <w:rPr>
                <w:rFonts w:ascii="宋体" w:hAnsi="宋体" w:cs="宋体"/>
                <w:color w:val="000000"/>
                <w:kern w:val="0"/>
                <w:sz w:val="20"/>
                <w:szCs w:val="18"/>
              </w:rPr>
              <w:t>5</w:t>
            </w:r>
            <w:r>
              <w:rPr>
                <w:rFonts w:hint="eastAsia" w:ascii="宋体" w:hAnsi="宋体" w:cs="宋体"/>
                <w:color w:val="000000"/>
                <w:kern w:val="0"/>
                <w:sz w:val="20"/>
                <w:szCs w:val="18"/>
              </w:rPr>
              <w:t>、在许可审批过程中违法收取费用的；</w:t>
            </w:r>
            <w:r>
              <w:rPr>
                <w:rFonts w:ascii="宋体" w:hAnsi="宋体" w:cs="宋体"/>
                <w:color w:val="000000"/>
                <w:kern w:val="0"/>
                <w:sz w:val="20"/>
                <w:szCs w:val="18"/>
              </w:rPr>
              <w:t>6</w:t>
            </w:r>
            <w:r>
              <w:rPr>
                <w:rFonts w:hint="eastAsia" w:ascii="宋体" w:hAnsi="宋体" w:cs="宋体"/>
                <w:color w:val="000000"/>
                <w:kern w:val="0"/>
                <w:sz w:val="20"/>
                <w:szCs w:val="18"/>
              </w:rPr>
              <w:t>、收受贿赂，或者为他人谋取不正当利益提供方便的；</w:t>
            </w:r>
            <w:r>
              <w:rPr>
                <w:rFonts w:ascii="宋体" w:hAnsi="宋体" w:cs="宋体"/>
                <w:color w:val="000000"/>
                <w:kern w:val="0"/>
                <w:sz w:val="20"/>
                <w:szCs w:val="18"/>
              </w:rPr>
              <w:t>7</w:t>
            </w:r>
            <w:r>
              <w:rPr>
                <w:rFonts w:hint="eastAsia" w:ascii="宋体" w:hAnsi="宋体" w:cs="宋体"/>
                <w:color w:val="000000"/>
                <w:kern w:val="0"/>
                <w:sz w:val="20"/>
                <w:szCs w:val="18"/>
              </w:rPr>
              <w:t>、其他违反法律法规规章文件规定的。</w:t>
            </w:r>
          </w:p>
        </w:tc>
        <w:tc>
          <w:tcPr>
            <w:tcW w:w="2369" w:type="dxa"/>
            <w:gridSpan w:val="2"/>
            <w:vAlign w:val="center"/>
          </w:tcPr>
          <w:p>
            <w:pPr>
              <w:widowControl/>
              <w:spacing w:line="360" w:lineRule="exact"/>
              <w:jc w:val="left"/>
              <w:textAlignment w:val="center"/>
              <w:rPr>
                <w:rFonts w:ascii="宋体" w:cs="宋体"/>
                <w:color w:val="000000"/>
                <w:kern w:val="0"/>
                <w:sz w:val="20"/>
                <w:szCs w:val="18"/>
              </w:rPr>
            </w:pPr>
            <w:r>
              <w:rPr>
                <w:rFonts w:ascii="宋体" w:hAnsi="宋体" w:cs="宋体"/>
                <w:color w:val="000000"/>
                <w:kern w:val="0"/>
                <w:sz w:val="20"/>
                <w:szCs w:val="18"/>
              </w:rPr>
              <w:t>1.</w:t>
            </w:r>
            <w:r>
              <w:rPr>
                <w:rFonts w:hint="eastAsia" w:ascii="宋体" w:hAnsi="宋体" w:cs="宋体"/>
                <w:color w:val="000000"/>
                <w:kern w:val="0"/>
                <w:sz w:val="20"/>
                <w:szCs w:val="18"/>
              </w:rPr>
              <w:t>《中华人民共和国行政许可法》（主席令第</w:t>
            </w:r>
            <w:r>
              <w:rPr>
                <w:rFonts w:ascii="宋体" w:hAnsi="宋体" w:cs="宋体"/>
                <w:color w:val="000000"/>
                <w:kern w:val="0"/>
                <w:sz w:val="20"/>
                <w:szCs w:val="18"/>
              </w:rPr>
              <w:t>7</w:t>
            </w:r>
            <w:r>
              <w:rPr>
                <w:rFonts w:hint="eastAsia" w:ascii="宋体" w:hAnsi="宋体" w:cs="宋体"/>
                <w:color w:val="000000"/>
                <w:kern w:val="0"/>
                <w:sz w:val="20"/>
                <w:szCs w:val="18"/>
              </w:rPr>
              <w:t>号）六十条、六十一条、六十九条、七十一条至七十七条。</w:t>
            </w:r>
            <w:r>
              <w:rPr>
                <w:rFonts w:ascii="宋体" w:hAnsi="宋体" w:cs="宋体"/>
                <w:color w:val="000000"/>
                <w:kern w:val="0"/>
                <w:sz w:val="20"/>
                <w:szCs w:val="18"/>
              </w:rPr>
              <w:t>2.</w:t>
            </w:r>
            <w:r>
              <w:rPr>
                <w:rFonts w:hint="eastAsia" w:ascii="宋体" w:hAnsi="宋体" w:cs="宋体"/>
                <w:color w:val="000000"/>
                <w:kern w:val="0"/>
                <w:sz w:val="20"/>
                <w:szCs w:val="18"/>
              </w:rPr>
              <w:t>《城市建筑垃圾管理规定第十九条：城市人民政府市容环境卫生主管部门的工作人员玩忽职守、滥用职权、徇私舞弊的，依法给予行政处分；构成犯罪的，依法追究刑事责任。</w:t>
            </w:r>
            <w:r>
              <w:rPr>
                <w:rFonts w:ascii="宋体" w:hAnsi="宋体" w:cs="宋体"/>
                <w:color w:val="000000"/>
                <w:kern w:val="0"/>
                <w:sz w:val="20"/>
                <w:szCs w:val="18"/>
              </w:rPr>
              <w:t>3.</w:t>
            </w:r>
            <w:r>
              <w:rPr>
                <w:rFonts w:hint="eastAsia" w:ascii="宋体" w:hAnsi="宋体" w:cs="宋体"/>
                <w:color w:val="000000"/>
                <w:kern w:val="0"/>
                <w:sz w:val="20"/>
                <w:szCs w:val="18"/>
              </w:rPr>
              <w:t>《邵阳市建筑垃圾和工程渣土处置管理办法》第十六条：渣土管理部门工作人员玩忽职守、滥用职权、徇私舞弊的，由其所在单位或上级主管部门给予组织处理和行政处分。</w:t>
            </w:r>
          </w:p>
        </w:tc>
        <w:tc>
          <w:tcPr>
            <w:tcW w:w="508" w:type="dxa"/>
            <w:vAlign w:val="center"/>
          </w:tcPr>
          <w:p>
            <w:pPr>
              <w:widowControl/>
              <w:spacing w:line="320" w:lineRule="exact"/>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spacing w:line="320" w:lineRule="exact"/>
              <w:jc w:val="center"/>
              <w:textAlignment w:val="center"/>
              <w:rPr>
                <w:rFonts w:ascii="宋体" w:cs="宋体"/>
                <w:color w:val="000000"/>
                <w:kern w:val="0"/>
                <w:sz w:val="20"/>
                <w:szCs w:val="18"/>
              </w:rPr>
            </w:pPr>
            <w:r>
              <w:rPr>
                <w:rFonts w:hint="eastAsia" w:ascii="宋体" w:hAnsi="宋体" w:cs="宋体"/>
                <w:color w:val="000000"/>
                <w:kern w:val="0"/>
                <w:sz w:val="20"/>
                <w:szCs w:val="18"/>
              </w:rPr>
              <w:t>街</w:t>
            </w:r>
          </w:p>
          <w:p>
            <w:pPr>
              <w:widowControl/>
              <w:spacing w:line="320" w:lineRule="exact"/>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spacing w:line="320" w:lineRule="exact"/>
              <w:jc w:val="center"/>
              <w:textAlignment w:val="center"/>
              <w:rPr>
                <w:rFonts w:ascii="宋体" w:cs="宋体"/>
                <w:color w:val="000000"/>
                <w:kern w:val="0"/>
                <w:sz w:val="20"/>
                <w:szCs w:val="18"/>
              </w:rPr>
            </w:pPr>
            <w:r>
              <w:rPr>
                <w:rFonts w:hint="eastAsia" w:ascii="宋体" w:hAnsi="宋体" w:cs="宋体"/>
                <w:color w:val="000000"/>
                <w:kern w:val="0"/>
                <w:sz w:val="20"/>
                <w:szCs w:val="18"/>
              </w:rPr>
              <w:t>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4" w:hRule="atLeast"/>
          <w:jc w:val="center"/>
        </w:trPr>
        <w:tc>
          <w:tcPr>
            <w:tcW w:w="511" w:type="dxa"/>
            <w:vAlign w:val="center"/>
          </w:tcPr>
          <w:p>
            <w:pPr>
              <w:widowControl/>
              <w:jc w:val="center"/>
              <w:textAlignment w:val="center"/>
              <w:rPr>
                <w:rFonts w:ascii="宋体" w:hAnsi="宋体" w:cs="黑体"/>
                <w:color w:val="000000"/>
                <w:kern w:val="0"/>
                <w:sz w:val="20"/>
                <w:szCs w:val="18"/>
              </w:rPr>
            </w:pPr>
            <w:r>
              <w:rPr>
                <w:rFonts w:ascii="宋体" w:hAnsi="宋体" w:cs="黑体"/>
                <w:color w:val="000000"/>
                <w:kern w:val="0"/>
                <w:sz w:val="20"/>
                <w:szCs w:val="18"/>
              </w:rPr>
              <w:t>3</w:t>
            </w:r>
          </w:p>
        </w:tc>
        <w:tc>
          <w:tcPr>
            <w:tcW w:w="624"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城市临时搭建建筑物、构筑物等设施，城市临时摆摊设点、堆放物料核准</w:t>
            </w:r>
          </w:p>
        </w:tc>
        <w:tc>
          <w:tcPr>
            <w:tcW w:w="765"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无</w:t>
            </w:r>
          </w:p>
        </w:tc>
        <w:tc>
          <w:tcPr>
            <w:tcW w:w="2389" w:type="dxa"/>
            <w:vAlign w:val="center"/>
          </w:tcPr>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1</w:t>
            </w:r>
            <w:r>
              <w:rPr>
                <w:rFonts w:hint="eastAsia" w:ascii="宋体" w:hAnsi="宋体" w:cs="宋体"/>
                <w:b/>
                <w:bCs/>
                <w:color w:val="000000"/>
                <w:kern w:val="0"/>
                <w:sz w:val="20"/>
                <w:szCs w:val="18"/>
              </w:rPr>
              <w:t>、受理阶段责任：</w:t>
            </w:r>
            <w:r>
              <w:rPr>
                <w:rFonts w:hint="eastAsia" w:ascii="宋体" w:hAnsi="宋体" w:cs="宋体"/>
                <w:color w:val="000000"/>
                <w:kern w:val="0"/>
                <w:sz w:val="20"/>
                <w:szCs w:val="18"/>
              </w:rPr>
              <w:t>公示依法应当提交的材料；初步审核申报材料；一次性告知补正材料；依法受理或不予受理（不予受理应当告知理由）。</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2</w:t>
            </w:r>
            <w:r>
              <w:rPr>
                <w:rFonts w:hint="eastAsia" w:ascii="宋体" w:hAnsi="宋体" w:cs="宋体"/>
                <w:b/>
                <w:bCs/>
                <w:color w:val="000000"/>
                <w:kern w:val="0"/>
                <w:sz w:val="20"/>
                <w:szCs w:val="18"/>
              </w:rPr>
              <w:t>、审查阶段责任：</w:t>
            </w:r>
            <w:r>
              <w:rPr>
                <w:rFonts w:hint="eastAsia" w:ascii="宋体" w:hAnsi="宋体" w:cs="宋体"/>
                <w:color w:val="000000"/>
                <w:kern w:val="0"/>
                <w:sz w:val="20"/>
                <w:szCs w:val="18"/>
              </w:rPr>
              <w:t>对申报材料审核，包括申请书、效果图、企业营业执照和身份证复印件等，结合实施依据提出审查意见，报首席代表审批。</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3</w:t>
            </w:r>
            <w:r>
              <w:rPr>
                <w:rFonts w:hint="eastAsia" w:ascii="宋体" w:hAnsi="宋体" w:cs="宋体"/>
                <w:b/>
                <w:bCs/>
                <w:color w:val="000000"/>
                <w:kern w:val="0"/>
                <w:sz w:val="20"/>
                <w:szCs w:val="18"/>
              </w:rPr>
              <w:t>、决定阶段责任：</w:t>
            </w:r>
            <w:r>
              <w:rPr>
                <w:rFonts w:hint="eastAsia" w:ascii="宋体" w:hAnsi="宋体" w:cs="宋体"/>
                <w:color w:val="000000"/>
                <w:kern w:val="0"/>
                <w:sz w:val="20"/>
                <w:szCs w:val="18"/>
              </w:rPr>
              <w:t>作出准予许可或不予许可的审批决定；按时办结；法定告知。</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4</w:t>
            </w:r>
            <w:r>
              <w:rPr>
                <w:rFonts w:hint="eastAsia" w:ascii="宋体" w:hAnsi="宋体" w:cs="宋体"/>
                <w:b/>
                <w:bCs/>
                <w:color w:val="000000"/>
                <w:kern w:val="0"/>
                <w:sz w:val="20"/>
                <w:szCs w:val="18"/>
              </w:rPr>
              <w:t>、送达阶段责任：</w:t>
            </w:r>
            <w:r>
              <w:rPr>
                <w:rFonts w:hint="eastAsia" w:ascii="宋体" w:hAnsi="宋体" w:cs="宋体"/>
                <w:color w:val="000000"/>
                <w:kern w:val="0"/>
                <w:sz w:val="20"/>
                <w:szCs w:val="18"/>
              </w:rPr>
              <w:t>准予许可的，制发行政许可决定书并送达；不予许可的，制发不予许可决定书并送达；信息公开。</w:t>
            </w:r>
          </w:p>
          <w:p>
            <w:pPr>
              <w:widowControl/>
              <w:spacing w:line="360" w:lineRule="exact"/>
              <w:jc w:val="left"/>
              <w:textAlignment w:val="center"/>
              <w:rPr>
                <w:rFonts w:ascii="宋体" w:cs="宋体"/>
                <w:b/>
                <w:bCs/>
                <w:color w:val="000000"/>
                <w:kern w:val="0"/>
                <w:sz w:val="20"/>
                <w:szCs w:val="18"/>
              </w:rPr>
            </w:pPr>
            <w:r>
              <w:rPr>
                <w:rFonts w:ascii="宋体" w:hAnsi="宋体" w:cs="宋体"/>
                <w:b/>
                <w:bCs/>
                <w:color w:val="000000"/>
                <w:kern w:val="0"/>
                <w:sz w:val="20"/>
                <w:szCs w:val="18"/>
              </w:rPr>
              <w:t>5</w:t>
            </w:r>
            <w:r>
              <w:rPr>
                <w:rFonts w:hint="eastAsia" w:ascii="宋体" w:hAnsi="宋体" w:cs="宋体"/>
                <w:b/>
                <w:bCs/>
                <w:color w:val="000000"/>
                <w:kern w:val="0"/>
                <w:sz w:val="20"/>
                <w:szCs w:val="18"/>
              </w:rPr>
              <w:t>、事后监管责任：</w:t>
            </w:r>
            <w:r>
              <w:rPr>
                <w:rFonts w:hint="eastAsia" w:ascii="宋体" w:hAnsi="宋体" w:cs="宋体"/>
                <w:color w:val="000000"/>
                <w:kern w:val="0"/>
                <w:sz w:val="20"/>
                <w:szCs w:val="18"/>
              </w:rPr>
              <w:t>加强批后监管，依法监督处置行为，维护城市道路干净整洁。</w:t>
            </w:r>
          </w:p>
        </w:tc>
        <w:tc>
          <w:tcPr>
            <w:tcW w:w="1314" w:type="dxa"/>
            <w:gridSpan w:val="3"/>
            <w:vAlign w:val="center"/>
          </w:tcPr>
          <w:p>
            <w:pPr>
              <w:widowControl/>
              <w:spacing w:line="360" w:lineRule="exact"/>
              <w:textAlignment w:val="center"/>
              <w:rPr>
                <w:rFonts w:ascii="宋体" w:cs="宋体"/>
                <w:color w:val="000000"/>
                <w:kern w:val="0"/>
                <w:sz w:val="20"/>
                <w:szCs w:val="18"/>
              </w:rPr>
            </w:pPr>
            <w:r>
              <w:rPr>
                <w:rFonts w:ascii="宋体" w:hAnsi="宋体" w:cs="宋体"/>
                <w:color w:val="000000"/>
                <w:kern w:val="0"/>
                <w:sz w:val="20"/>
                <w:szCs w:val="18"/>
              </w:rPr>
              <w:t xml:space="preserve"> </w:t>
            </w:r>
            <w:r>
              <w:rPr>
                <w:rFonts w:hint="eastAsia" w:ascii="宋体" w:hAnsi="宋体" w:cs="宋体"/>
                <w:color w:val="000000"/>
                <w:kern w:val="0"/>
                <w:sz w:val="20"/>
                <w:szCs w:val="18"/>
              </w:rPr>
              <w:t>《中华人民共和国行政许可法》第二十九条、第三十条、第三十二条至第四十条、第四十九条、第五十条、第六十一条、第六十四条、第六十五条、第六十八条。</w:t>
            </w:r>
          </w:p>
        </w:tc>
        <w:tc>
          <w:tcPr>
            <w:tcW w:w="1745" w:type="dxa"/>
            <w:vAlign w:val="center"/>
          </w:tcPr>
          <w:p>
            <w:pPr>
              <w:widowControl/>
              <w:spacing w:line="360" w:lineRule="exact"/>
              <w:jc w:val="left"/>
              <w:textAlignment w:val="center"/>
              <w:rPr>
                <w:rFonts w:ascii="宋体" w:cs="宋体"/>
                <w:color w:val="000000"/>
                <w:kern w:val="0"/>
                <w:sz w:val="20"/>
                <w:szCs w:val="18"/>
              </w:rPr>
            </w:pPr>
            <w:r>
              <w:rPr>
                <w:rFonts w:hint="eastAsia" w:ascii="宋体" w:hAnsi="宋体" w:cs="宋体"/>
                <w:color w:val="000000"/>
                <w:kern w:val="0"/>
                <w:sz w:val="20"/>
                <w:szCs w:val="18"/>
              </w:rPr>
              <w:t>因不履行或不正确履行行政职责，有下列情形的，行政机关及相关工作人员应承担相应责任：</w:t>
            </w:r>
            <w:r>
              <w:rPr>
                <w:rFonts w:ascii="宋体" w:cs="宋体"/>
                <w:color w:val="000000"/>
                <w:kern w:val="0"/>
                <w:sz w:val="20"/>
                <w:szCs w:val="18"/>
              </w:rPr>
              <w:br w:type="textWrapping"/>
            </w:r>
            <w:r>
              <w:rPr>
                <w:rFonts w:ascii="宋体" w:hAnsi="宋体" w:cs="宋体"/>
                <w:color w:val="000000"/>
                <w:kern w:val="0"/>
                <w:sz w:val="20"/>
                <w:szCs w:val="18"/>
              </w:rPr>
              <w:t>1</w:t>
            </w:r>
            <w:r>
              <w:rPr>
                <w:rFonts w:hint="eastAsia" w:ascii="宋体" w:hAnsi="宋体" w:cs="宋体"/>
                <w:color w:val="000000"/>
                <w:kern w:val="0"/>
                <w:sz w:val="20"/>
                <w:szCs w:val="18"/>
              </w:rPr>
              <w:t>、对符合法定条件的申请不予受理的；不在办公场所公示依法应当公示的材料的；</w:t>
            </w:r>
            <w:r>
              <w:rPr>
                <w:rFonts w:ascii="宋体" w:hAnsi="宋体" w:cs="宋体"/>
                <w:color w:val="000000"/>
                <w:kern w:val="0"/>
                <w:sz w:val="20"/>
                <w:szCs w:val="18"/>
              </w:rPr>
              <w:t>2</w:t>
            </w:r>
            <w:r>
              <w:rPr>
                <w:rFonts w:hint="eastAsia" w:ascii="宋体" w:hAnsi="宋体" w:cs="宋体"/>
                <w:color w:val="000000"/>
                <w:kern w:val="0"/>
                <w:sz w:val="20"/>
                <w:szCs w:val="18"/>
              </w:rPr>
              <w:t>、对符合审批条件的申请不予受理、不予许可或者不在规定期限内作出准予许可决定的；</w:t>
            </w:r>
            <w:r>
              <w:rPr>
                <w:rFonts w:ascii="宋体" w:hAnsi="宋体" w:cs="宋体"/>
                <w:color w:val="000000"/>
                <w:kern w:val="0"/>
                <w:sz w:val="20"/>
                <w:szCs w:val="18"/>
              </w:rPr>
              <w:t>3</w:t>
            </w:r>
            <w:r>
              <w:rPr>
                <w:rFonts w:hint="eastAsia" w:ascii="宋体" w:hAnsi="宋体" w:cs="宋体"/>
                <w:color w:val="000000"/>
                <w:kern w:val="0"/>
                <w:sz w:val="20"/>
                <w:szCs w:val="18"/>
              </w:rPr>
              <w:t>、对不符合审批条件的申请准予许可或者超越法定权限作出准予许可决定的；</w:t>
            </w:r>
            <w:r>
              <w:rPr>
                <w:rFonts w:ascii="宋体" w:hAnsi="宋体" w:cs="宋体"/>
                <w:color w:val="000000"/>
                <w:kern w:val="0"/>
                <w:sz w:val="20"/>
                <w:szCs w:val="18"/>
              </w:rPr>
              <w:t>4</w:t>
            </w:r>
            <w:r>
              <w:rPr>
                <w:rFonts w:hint="eastAsia" w:ascii="宋体" w:hAnsi="宋体" w:cs="宋体"/>
                <w:color w:val="000000"/>
                <w:kern w:val="0"/>
                <w:sz w:val="20"/>
                <w:szCs w:val="18"/>
              </w:rPr>
              <w:t>、不按规定的审批流程受理、审查、审批运输、倾倒、建筑垃圾的；</w:t>
            </w:r>
            <w:r>
              <w:rPr>
                <w:rFonts w:ascii="宋体" w:hAnsi="宋体" w:cs="宋体"/>
                <w:color w:val="000000"/>
                <w:kern w:val="0"/>
                <w:sz w:val="20"/>
                <w:szCs w:val="18"/>
              </w:rPr>
              <w:t>5</w:t>
            </w:r>
            <w:r>
              <w:rPr>
                <w:rFonts w:hint="eastAsia" w:ascii="宋体" w:hAnsi="宋体" w:cs="宋体"/>
                <w:color w:val="000000"/>
                <w:kern w:val="0"/>
                <w:sz w:val="20"/>
                <w:szCs w:val="18"/>
              </w:rPr>
              <w:t>、在许可审批过程中违法收取费用的；</w:t>
            </w:r>
            <w:r>
              <w:rPr>
                <w:rFonts w:ascii="宋体" w:hAnsi="宋体" w:cs="宋体"/>
                <w:color w:val="000000"/>
                <w:kern w:val="0"/>
                <w:sz w:val="20"/>
                <w:szCs w:val="18"/>
              </w:rPr>
              <w:t>6</w:t>
            </w:r>
            <w:r>
              <w:rPr>
                <w:rFonts w:hint="eastAsia" w:ascii="宋体" w:hAnsi="宋体" w:cs="宋体"/>
                <w:color w:val="000000"/>
                <w:kern w:val="0"/>
                <w:sz w:val="20"/>
                <w:szCs w:val="18"/>
              </w:rPr>
              <w:t>、收受贿赂，或者为他人谋取不正当利益提供方便的；</w:t>
            </w:r>
            <w:r>
              <w:rPr>
                <w:rFonts w:ascii="宋体" w:hAnsi="宋体" w:cs="宋体"/>
                <w:color w:val="000000"/>
                <w:kern w:val="0"/>
                <w:sz w:val="20"/>
                <w:szCs w:val="18"/>
              </w:rPr>
              <w:t>7</w:t>
            </w:r>
            <w:r>
              <w:rPr>
                <w:rFonts w:hint="eastAsia" w:ascii="宋体" w:hAnsi="宋体" w:cs="宋体"/>
                <w:color w:val="000000"/>
                <w:kern w:val="0"/>
                <w:sz w:val="20"/>
                <w:szCs w:val="18"/>
              </w:rPr>
              <w:t>、其他违反法律法规规章文件规定的。</w:t>
            </w:r>
          </w:p>
        </w:tc>
        <w:tc>
          <w:tcPr>
            <w:tcW w:w="2369" w:type="dxa"/>
            <w:gridSpan w:val="2"/>
            <w:vAlign w:val="center"/>
          </w:tcPr>
          <w:p>
            <w:pPr>
              <w:widowControl/>
              <w:spacing w:line="360" w:lineRule="exact"/>
              <w:jc w:val="left"/>
              <w:textAlignment w:val="center"/>
              <w:rPr>
                <w:rFonts w:ascii="宋体" w:cs="宋体"/>
                <w:color w:val="000000"/>
                <w:kern w:val="0"/>
                <w:sz w:val="20"/>
                <w:szCs w:val="18"/>
              </w:rPr>
            </w:pPr>
            <w:r>
              <w:rPr>
                <w:rFonts w:ascii="宋体" w:hAnsi="宋体" w:cs="宋体"/>
                <w:color w:val="000000"/>
                <w:kern w:val="0"/>
                <w:sz w:val="20"/>
                <w:szCs w:val="18"/>
              </w:rPr>
              <w:t>1.</w:t>
            </w:r>
            <w:r>
              <w:rPr>
                <w:rFonts w:hint="eastAsia" w:ascii="宋体" w:hAnsi="宋体" w:cs="宋体"/>
                <w:color w:val="000000"/>
                <w:kern w:val="0"/>
                <w:sz w:val="20"/>
                <w:szCs w:val="18"/>
              </w:rPr>
              <w:t>《中华人民共和国行政许可法》（主席令第</w:t>
            </w:r>
            <w:r>
              <w:rPr>
                <w:rFonts w:ascii="宋体" w:hAnsi="宋体" w:cs="宋体"/>
                <w:color w:val="000000"/>
                <w:kern w:val="0"/>
                <w:sz w:val="20"/>
                <w:szCs w:val="18"/>
              </w:rPr>
              <w:t>7</w:t>
            </w:r>
            <w:r>
              <w:rPr>
                <w:rFonts w:hint="eastAsia" w:ascii="宋体" w:hAnsi="宋体" w:cs="宋体"/>
                <w:color w:val="000000"/>
                <w:kern w:val="0"/>
                <w:sz w:val="20"/>
                <w:szCs w:val="18"/>
              </w:rPr>
              <w:t>号）六十条、六十一条、六十九条、七十一条至七十七条。</w:t>
            </w:r>
            <w:r>
              <w:rPr>
                <w:rFonts w:ascii="宋体" w:hAnsi="宋体" w:cs="宋体"/>
                <w:color w:val="000000"/>
                <w:kern w:val="0"/>
                <w:sz w:val="20"/>
                <w:szCs w:val="18"/>
              </w:rPr>
              <w:t>2.</w:t>
            </w:r>
            <w:r>
              <w:rPr>
                <w:rFonts w:hint="eastAsia" w:ascii="宋体" w:hAnsi="宋体" w:cs="宋体"/>
                <w:color w:val="000000"/>
                <w:kern w:val="0"/>
                <w:sz w:val="20"/>
                <w:szCs w:val="18"/>
              </w:rPr>
              <w:t>《国务院城市市容和环境卫生管理条例》（国务院令</w:t>
            </w:r>
            <w:r>
              <w:rPr>
                <w:rFonts w:ascii="宋体" w:hAnsi="宋体" w:cs="宋体"/>
                <w:color w:val="000000"/>
                <w:kern w:val="0"/>
                <w:sz w:val="20"/>
                <w:szCs w:val="18"/>
              </w:rPr>
              <w:t>101</w:t>
            </w:r>
            <w:r>
              <w:rPr>
                <w:rFonts w:hint="eastAsia" w:ascii="宋体" w:hAnsi="宋体" w:cs="宋体"/>
                <w:color w:val="000000"/>
                <w:kern w:val="0"/>
                <w:sz w:val="20"/>
                <w:szCs w:val="18"/>
              </w:rPr>
              <w:t>号）四十一条：城市人民政府市容环境行政主管部门工作人员玩忽职守、滥用职权、徇私舞弊的，由其所在单位或者上级主管机关给予行政处分；构成犯罪的，依法追究刑事责任。</w:t>
            </w:r>
          </w:p>
        </w:tc>
        <w:tc>
          <w:tcPr>
            <w:tcW w:w="508" w:type="dxa"/>
            <w:vAlign w:val="center"/>
          </w:tcPr>
          <w:p>
            <w:pPr>
              <w:widowControl/>
              <w:jc w:val="left"/>
              <w:textAlignment w:val="center"/>
              <w:rPr>
                <w:rFonts w:ascii="宋体" w:cs="宋体"/>
                <w:color w:val="000000"/>
                <w:kern w:val="0"/>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0" w:hRule="atLeast"/>
          <w:jc w:val="center"/>
        </w:trPr>
        <w:tc>
          <w:tcPr>
            <w:tcW w:w="511" w:type="dxa"/>
            <w:vAlign w:val="center"/>
          </w:tcPr>
          <w:p>
            <w:pPr>
              <w:widowControl/>
              <w:jc w:val="center"/>
              <w:textAlignment w:val="center"/>
              <w:rPr>
                <w:rFonts w:ascii="宋体" w:hAnsi="宋体" w:cs="黑体"/>
                <w:color w:val="000000"/>
                <w:kern w:val="0"/>
                <w:sz w:val="20"/>
                <w:szCs w:val="18"/>
              </w:rPr>
            </w:pPr>
            <w:r>
              <w:rPr>
                <w:rFonts w:ascii="宋体" w:hAnsi="宋体" w:cs="黑体"/>
                <w:color w:val="000000"/>
                <w:kern w:val="0"/>
                <w:sz w:val="20"/>
                <w:szCs w:val="18"/>
              </w:rPr>
              <w:t>4</w:t>
            </w:r>
          </w:p>
        </w:tc>
        <w:tc>
          <w:tcPr>
            <w:tcW w:w="624"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城市临时占用公共场所商业促销、公益宣传的核准</w:t>
            </w:r>
          </w:p>
        </w:tc>
        <w:tc>
          <w:tcPr>
            <w:tcW w:w="765"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无</w:t>
            </w:r>
          </w:p>
        </w:tc>
        <w:tc>
          <w:tcPr>
            <w:tcW w:w="2389" w:type="dxa"/>
            <w:vAlign w:val="center"/>
          </w:tcPr>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1</w:t>
            </w:r>
            <w:r>
              <w:rPr>
                <w:rFonts w:hint="eastAsia" w:ascii="宋体" w:hAnsi="宋体" w:cs="宋体"/>
                <w:b/>
                <w:bCs/>
                <w:color w:val="000000"/>
                <w:kern w:val="0"/>
                <w:sz w:val="20"/>
                <w:szCs w:val="18"/>
              </w:rPr>
              <w:t>、受理阶段责任：</w:t>
            </w:r>
            <w:r>
              <w:rPr>
                <w:rFonts w:hint="eastAsia" w:ascii="宋体" w:hAnsi="宋体" w:cs="宋体"/>
                <w:color w:val="000000"/>
                <w:kern w:val="0"/>
                <w:sz w:val="20"/>
                <w:szCs w:val="18"/>
              </w:rPr>
              <w:t>公示依法应当提交的材料；初步审核申报材料；一次性告知补正材料；依法受理或不予受理（不予受理应当告知理由）。</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2</w:t>
            </w:r>
            <w:r>
              <w:rPr>
                <w:rFonts w:hint="eastAsia" w:ascii="宋体" w:hAnsi="宋体" w:cs="宋体"/>
                <w:b/>
                <w:bCs/>
                <w:color w:val="000000"/>
                <w:kern w:val="0"/>
                <w:sz w:val="20"/>
                <w:szCs w:val="18"/>
              </w:rPr>
              <w:t>、审查阶段责任：</w:t>
            </w:r>
            <w:r>
              <w:rPr>
                <w:rFonts w:hint="eastAsia" w:ascii="宋体" w:hAnsi="宋体" w:cs="宋体"/>
                <w:color w:val="000000"/>
                <w:kern w:val="0"/>
                <w:sz w:val="20"/>
                <w:szCs w:val="18"/>
              </w:rPr>
              <w:t>对申报材料审核，包括申请书、效果图、企业营业执照和身份证复印件等，结合实施依据提出审查意见，报首席代表审批。</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3</w:t>
            </w:r>
            <w:r>
              <w:rPr>
                <w:rFonts w:hint="eastAsia" w:ascii="宋体" w:hAnsi="宋体" w:cs="宋体"/>
                <w:b/>
                <w:bCs/>
                <w:color w:val="000000"/>
                <w:kern w:val="0"/>
                <w:sz w:val="20"/>
                <w:szCs w:val="18"/>
              </w:rPr>
              <w:t>、决定阶段责任：</w:t>
            </w:r>
            <w:r>
              <w:rPr>
                <w:rFonts w:hint="eastAsia" w:ascii="宋体" w:hAnsi="宋体" w:cs="宋体"/>
                <w:color w:val="000000"/>
                <w:kern w:val="0"/>
                <w:sz w:val="20"/>
                <w:szCs w:val="18"/>
              </w:rPr>
              <w:t>作出准予许可或不予许可的审批决定；按时办结；法定告知。</w:t>
            </w:r>
          </w:p>
          <w:p>
            <w:pPr>
              <w:widowControl/>
              <w:spacing w:line="360" w:lineRule="exact"/>
              <w:jc w:val="left"/>
              <w:textAlignment w:val="center"/>
              <w:rPr>
                <w:rFonts w:ascii="宋体" w:cs="宋体"/>
                <w:color w:val="000000"/>
                <w:kern w:val="0"/>
                <w:sz w:val="20"/>
                <w:szCs w:val="18"/>
              </w:rPr>
            </w:pPr>
            <w:r>
              <w:rPr>
                <w:rFonts w:ascii="宋体" w:hAnsi="宋体" w:cs="宋体"/>
                <w:b/>
                <w:bCs/>
                <w:color w:val="000000"/>
                <w:kern w:val="0"/>
                <w:sz w:val="20"/>
                <w:szCs w:val="18"/>
              </w:rPr>
              <w:t>4</w:t>
            </w:r>
            <w:r>
              <w:rPr>
                <w:rFonts w:hint="eastAsia" w:ascii="宋体" w:hAnsi="宋体" w:cs="宋体"/>
                <w:b/>
                <w:bCs/>
                <w:color w:val="000000"/>
                <w:kern w:val="0"/>
                <w:sz w:val="20"/>
                <w:szCs w:val="18"/>
              </w:rPr>
              <w:t>、送达阶段责任：</w:t>
            </w:r>
            <w:r>
              <w:rPr>
                <w:rFonts w:hint="eastAsia" w:ascii="宋体" w:hAnsi="宋体" w:cs="宋体"/>
                <w:color w:val="000000"/>
                <w:kern w:val="0"/>
                <w:sz w:val="20"/>
                <w:szCs w:val="18"/>
              </w:rPr>
              <w:t>准予许可的，制发行政许可决定书并送达；不予许可的，制发不予许可决定书并送达；信息公开。</w:t>
            </w:r>
          </w:p>
          <w:p>
            <w:pPr>
              <w:widowControl/>
              <w:spacing w:line="360" w:lineRule="exact"/>
              <w:jc w:val="left"/>
              <w:textAlignment w:val="center"/>
              <w:rPr>
                <w:rFonts w:ascii="宋体" w:cs="宋体"/>
                <w:b/>
                <w:bCs/>
                <w:color w:val="000000"/>
                <w:kern w:val="0"/>
                <w:sz w:val="20"/>
                <w:szCs w:val="18"/>
              </w:rPr>
            </w:pPr>
            <w:r>
              <w:rPr>
                <w:rFonts w:ascii="宋体" w:hAnsi="宋体" w:cs="宋体"/>
                <w:b/>
                <w:bCs/>
                <w:color w:val="000000"/>
                <w:kern w:val="0"/>
                <w:sz w:val="20"/>
                <w:szCs w:val="18"/>
              </w:rPr>
              <w:t>5</w:t>
            </w:r>
            <w:r>
              <w:rPr>
                <w:rFonts w:hint="eastAsia" w:ascii="宋体" w:hAnsi="宋体" w:cs="宋体"/>
                <w:b/>
                <w:bCs/>
                <w:color w:val="000000"/>
                <w:kern w:val="0"/>
                <w:sz w:val="20"/>
                <w:szCs w:val="18"/>
              </w:rPr>
              <w:t>、事后监管责任：</w:t>
            </w:r>
            <w:r>
              <w:rPr>
                <w:rFonts w:hint="eastAsia" w:ascii="宋体" w:hAnsi="宋体" w:cs="宋体"/>
                <w:color w:val="000000"/>
                <w:kern w:val="0"/>
                <w:sz w:val="20"/>
                <w:szCs w:val="18"/>
              </w:rPr>
              <w:t>加强批后监管，依法监督处置行为，维护城市道路干净整洁。</w:t>
            </w:r>
          </w:p>
        </w:tc>
        <w:tc>
          <w:tcPr>
            <w:tcW w:w="1314" w:type="dxa"/>
            <w:gridSpan w:val="3"/>
            <w:vAlign w:val="center"/>
          </w:tcPr>
          <w:p>
            <w:pPr>
              <w:widowControl/>
              <w:spacing w:line="360" w:lineRule="exact"/>
              <w:textAlignment w:val="center"/>
              <w:rPr>
                <w:rFonts w:ascii="宋体" w:cs="宋体"/>
                <w:color w:val="000000"/>
                <w:kern w:val="0"/>
                <w:sz w:val="20"/>
                <w:szCs w:val="18"/>
              </w:rPr>
            </w:pPr>
            <w:r>
              <w:rPr>
                <w:rFonts w:ascii="宋体" w:hAnsi="宋体" w:cs="宋体"/>
                <w:color w:val="000000"/>
                <w:kern w:val="0"/>
                <w:sz w:val="20"/>
                <w:szCs w:val="18"/>
              </w:rPr>
              <w:t xml:space="preserve"> </w:t>
            </w:r>
            <w:r>
              <w:rPr>
                <w:rFonts w:hint="eastAsia" w:ascii="宋体" w:hAnsi="宋体" w:cs="宋体"/>
                <w:color w:val="000000"/>
                <w:kern w:val="0"/>
                <w:sz w:val="20"/>
                <w:szCs w:val="18"/>
              </w:rPr>
              <w:t>《中华人民共和国行政许可法》第二十九条、第三十条、第三十二条至第四十条、第四十九条、第五十条、第六十一条、第六十四条、第六十五条、第六十八条。</w:t>
            </w:r>
          </w:p>
        </w:tc>
        <w:tc>
          <w:tcPr>
            <w:tcW w:w="1745" w:type="dxa"/>
            <w:vAlign w:val="center"/>
          </w:tcPr>
          <w:p>
            <w:pPr>
              <w:widowControl/>
              <w:spacing w:line="360" w:lineRule="exact"/>
              <w:jc w:val="left"/>
              <w:textAlignment w:val="center"/>
              <w:rPr>
                <w:rFonts w:ascii="宋体" w:cs="宋体"/>
                <w:color w:val="000000"/>
                <w:kern w:val="0"/>
                <w:sz w:val="20"/>
                <w:szCs w:val="18"/>
              </w:rPr>
            </w:pPr>
            <w:r>
              <w:rPr>
                <w:rFonts w:hint="eastAsia" w:ascii="宋体" w:hAnsi="宋体" w:cs="宋体"/>
                <w:color w:val="000000"/>
                <w:kern w:val="0"/>
                <w:sz w:val="20"/>
                <w:szCs w:val="18"/>
              </w:rPr>
              <w:t>因不履行或不正确履行行政职责，有下列情形的，行政机关及相关工作人员应承担相应责任：</w:t>
            </w:r>
            <w:r>
              <w:rPr>
                <w:rFonts w:ascii="宋体" w:cs="宋体"/>
                <w:color w:val="000000"/>
                <w:kern w:val="0"/>
                <w:sz w:val="20"/>
                <w:szCs w:val="18"/>
              </w:rPr>
              <w:br w:type="textWrapping"/>
            </w:r>
            <w:r>
              <w:rPr>
                <w:rFonts w:ascii="宋体" w:hAnsi="宋体" w:cs="宋体"/>
                <w:color w:val="000000"/>
                <w:kern w:val="0"/>
                <w:sz w:val="20"/>
                <w:szCs w:val="18"/>
              </w:rPr>
              <w:t>1</w:t>
            </w:r>
            <w:r>
              <w:rPr>
                <w:rFonts w:hint="eastAsia" w:ascii="宋体" w:hAnsi="宋体" w:cs="宋体"/>
                <w:color w:val="000000"/>
                <w:kern w:val="0"/>
                <w:sz w:val="20"/>
                <w:szCs w:val="18"/>
              </w:rPr>
              <w:t>、对符合法定条件的申请不予受理的；不在办公场所公示依法应当公示的材料的；</w:t>
            </w:r>
            <w:r>
              <w:rPr>
                <w:rFonts w:ascii="宋体" w:hAnsi="宋体" w:cs="宋体"/>
                <w:color w:val="000000"/>
                <w:kern w:val="0"/>
                <w:sz w:val="20"/>
                <w:szCs w:val="18"/>
              </w:rPr>
              <w:t>2</w:t>
            </w:r>
            <w:r>
              <w:rPr>
                <w:rFonts w:hint="eastAsia" w:ascii="宋体" w:hAnsi="宋体" w:cs="宋体"/>
                <w:color w:val="000000"/>
                <w:kern w:val="0"/>
                <w:sz w:val="20"/>
                <w:szCs w:val="18"/>
              </w:rPr>
              <w:t>、对符合审批条件的申请不予受理、不予许可或者不在规定期限内作出准予许可决定的；</w:t>
            </w:r>
            <w:r>
              <w:rPr>
                <w:rFonts w:ascii="宋体" w:hAnsi="宋体" w:cs="宋体"/>
                <w:color w:val="000000"/>
                <w:kern w:val="0"/>
                <w:sz w:val="20"/>
                <w:szCs w:val="18"/>
              </w:rPr>
              <w:t>3</w:t>
            </w:r>
            <w:r>
              <w:rPr>
                <w:rFonts w:hint="eastAsia" w:ascii="宋体" w:hAnsi="宋体" w:cs="宋体"/>
                <w:color w:val="000000"/>
                <w:kern w:val="0"/>
                <w:sz w:val="20"/>
                <w:szCs w:val="18"/>
              </w:rPr>
              <w:t>、对不符合审批条件的申请准予许可或者超越法定权限作出准予许可决定的；</w:t>
            </w:r>
            <w:r>
              <w:rPr>
                <w:rFonts w:ascii="宋体" w:hAnsi="宋体" w:cs="宋体"/>
                <w:color w:val="000000"/>
                <w:kern w:val="0"/>
                <w:sz w:val="20"/>
                <w:szCs w:val="18"/>
              </w:rPr>
              <w:t>4</w:t>
            </w:r>
            <w:r>
              <w:rPr>
                <w:rFonts w:hint="eastAsia" w:ascii="宋体" w:hAnsi="宋体" w:cs="宋体"/>
                <w:color w:val="000000"/>
                <w:kern w:val="0"/>
                <w:sz w:val="20"/>
                <w:szCs w:val="18"/>
              </w:rPr>
              <w:t>、不按规定的审批流程受理、审查、审批运输、倾倒、建筑垃圾的；</w:t>
            </w:r>
            <w:r>
              <w:rPr>
                <w:rFonts w:ascii="宋体" w:hAnsi="宋体" w:cs="宋体"/>
                <w:color w:val="000000"/>
                <w:kern w:val="0"/>
                <w:sz w:val="20"/>
                <w:szCs w:val="18"/>
              </w:rPr>
              <w:t>5</w:t>
            </w:r>
            <w:r>
              <w:rPr>
                <w:rFonts w:hint="eastAsia" w:ascii="宋体" w:hAnsi="宋体" w:cs="宋体"/>
                <w:color w:val="000000"/>
                <w:kern w:val="0"/>
                <w:sz w:val="20"/>
                <w:szCs w:val="18"/>
              </w:rPr>
              <w:t>、在许可审批过程中违法收取费用的；</w:t>
            </w:r>
            <w:r>
              <w:rPr>
                <w:rFonts w:ascii="宋体" w:hAnsi="宋体" w:cs="宋体"/>
                <w:color w:val="000000"/>
                <w:kern w:val="0"/>
                <w:sz w:val="20"/>
                <w:szCs w:val="18"/>
              </w:rPr>
              <w:t>6</w:t>
            </w:r>
            <w:r>
              <w:rPr>
                <w:rFonts w:hint="eastAsia" w:ascii="宋体" w:hAnsi="宋体" w:cs="宋体"/>
                <w:color w:val="000000"/>
                <w:kern w:val="0"/>
                <w:sz w:val="20"/>
                <w:szCs w:val="18"/>
              </w:rPr>
              <w:t>、收受贿赂，或者为他人谋取不正当利益提供方便的；</w:t>
            </w:r>
            <w:r>
              <w:rPr>
                <w:rFonts w:ascii="宋体" w:hAnsi="宋体" w:cs="宋体"/>
                <w:color w:val="000000"/>
                <w:kern w:val="0"/>
                <w:sz w:val="20"/>
                <w:szCs w:val="18"/>
              </w:rPr>
              <w:t>7</w:t>
            </w:r>
            <w:r>
              <w:rPr>
                <w:rFonts w:hint="eastAsia" w:ascii="宋体" w:hAnsi="宋体" w:cs="宋体"/>
                <w:color w:val="000000"/>
                <w:kern w:val="0"/>
                <w:sz w:val="20"/>
                <w:szCs w:val="18"/>
              </w:rPr>
              <w:t>、其他违反法律法规规章文件规定的。</w:t>
            </w:r>
          </w:p>
        </w:tc>
        <w:tc>
          <w:tcPr>
            <w:tcW w:w="2369" w:type="dxa"/>
            <w:gridSpan w:val="2"/>
            <w:vAlign w:val="center"/>
          </w:tcPr>
          <w:p>
            <w:pPr>
              <w:widowControl/>
              <w:spacing w:line="360" w:lineRule="exact"/>
              <w:jc w:val="left"/>
              <w:textAlignment w:val="center"/>
              <w:rPr>
                <w:rFonts w:ascii="宋体" w:cs="宋体"/>
                <w:color w:val="000000"/>
                <w:kern w:val="0"/>
                <w:sz w:val="20"/>
                <w:szCs w:val="18"/>
              </w:rPr>
            </w:pPr>
            <w:r>
              <w:rPr>
                <w:rFonts w:ascii="宋体" w:hAnsi="宋体" w:cs="宋体"/>
                <w:color w:val="000000"/>
                <w:kern w:val="0"/>
                <w:sz w:val="20"/>
                <w:szCs w:val="18"/>
              </w:rPr>
              <w:t>1.</w:t>
            </w:r>
            <w:r>
              <w:rPr>
                <w:rFonts w:hint="eastAsia" w:ascii="宋体" w:hAnsi="宋体" w:cs="宋体"/>
                <w:color w:val="000000"/>
                <w:kern w:val="0"/>
                <w:sz w:val="20"/>
                <w:szCs w:val="18"/>
              </w:rPr>
              <w:t>《中华人民共和国行政许可法》（主席令第</w:t>
            </w:r>
            <w:r>
              <w:rPr>
                <w:rFonts w:ascii="宋体" w:hAnsi="宋体" w:cs="宋体"/>
                <w:color w:val="000000"/>
                <w:kern w:val="0"/>
                <w:sz w:val="20"/>
                <w:szCs w:val="18"/>
              </w:rPr>
              <w:t>7</w:t>
            </w:r>
            <w:r>
              <w:rPr>
                <w:rFonts w:hint="eastAsia" w:ascii="宋体" w:hAnsi="宋体" w:cs="宋体"/>
                <w:color w:val="000000"/>
                <w:kern w:val="0"/>
                <w:sz w:val="20"/>
                <w:szCs w:val="18"/>
              </w:rPr>
              <w:t>号）六十条、六十一条、六十九条、七十一条至七十七条。</w:t>
            </w:r>
            <w:r>
              <w:rPr>
                <w:rFonts w:ascii="宋体" w:hAnsi="宋体" w:cs="宋体"/>
                <w:color w:val="000000"/>
                <w:kern w:val="0"/>
                <w:sz w:val="20"/>
                <w:szCs w:val="18"/>
              </w:rPr>
              <w:t>2.</w:t>
            </w:r>
            <w:r>
              <w:rPr>
                <w:rFonts w:hint="eastAsia" w:ascii="宋体" w:hAnsi="宋体" w:cs="宋体"/>
                <w:color w:val="000000"/>
                <w:kern w:val="0"/>
                <w:sz w:val="20"/>
                <w:szCs w:val="18"/>
              </w:rPr>
              <w:t>《国务院城市市容和环境卫生管理条例》（国务院令</w:t>
            </w:r>
            <w:r>
              <w:rPr>
                <w:rFonts w:ascii="宋体" w:hAnsi="宋体" w:cs="宋体"/>
                <w:color w:val="000000"/>
                <w:kern w:val="0"/>
                <w:sz w:val="20"/>
                <w:szCs w:val="18"/>
              </w:rPr>
              <w:t>101</w:t>
            </w:r>
            <w:r>
              <w:rPr>
                <w:rFonts w:hint="eastAsia" w:ascii="宋体" w:hAnsi="宋体" w:cs="宋体"/>
                <w:color w:val="000000"/>
                <w:kern w:val="0"/>
                <w:sz w:val="20"/>
                <w:szCs w:val="18"/>
              </w:rPr>
              <w:t>号）四十一条：城市人民政府市容环境行政主管部门工作人员玩忽职守、滥用职权、徇私舞弊的，由其所在单位或者上级主管机关给予行政处分；构成犯罪的，依法追究刑事责任。</w:t>
            </w:r>
          </w:p>
        </w:tc>
        <w:tc>
          <w:tcPr>
            <w:tcW w:w="508"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街</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小</w:t>
            </w:r>
          </w:p>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4" w:hRule="atLeast"/>
          <w:jc w:val="center"/>
        </w:trPr>
        <w:tc>
          <w:tcPr>
            <w:tcW w:w="511" w:type="dxa"/>
            <w:vAlign w:val="center"/>
          </w:tcPr>
          <w:p>
            <w:pPr>
              <w:widowControl/>
              <w:jc w:val="center"/>
              <w:textAlignment w:val="center"/>
              <w:rPr>
                <w:rFonts w:ascii="宋体" w:hAnsi="宋体" w:cs="宋体"/>
                <w:color w:val="000000"/>
                <w:kern w:val="0"/>
                <w:sz w:val="20"/>
              </w:rPr>
            </w:pPr>
            <w:r>
              <w:rPr>
                <w:rFonts w:ascii="宋体" w:hAnsi="宋体" w:cs="宋体"/>
                <w:color w:val="000000"/>
                <w:kern w:val="0"/>
                <w:sz w:val="20"/>
              </w:rPr>
              <w:t>5</w:t>
            </w:r>
          </w:p>
        </w:tc>
        <w:tc>
          <w:tcPr>
            <w:tcW w:w="624" w:type="dxa"/>
            <w:vAlign w:val="center"/>
          </w:tcPr>
          <w:p>
            <w:pPr>
              <w:widowControl/>
              <w:jc w:val="center"/>
              <w:textAlignment w:val="center"/>
              <w:rPr>
                <w:rFonts w:ascii="宋体" w:cs="宋体"/>
                <w:color w:val="000000"/>
                <w:kern w:val="0"/>
                <w:sz w:val="20"/>
              </w:rPr>
            </w:pPr>
            <w:r>
              <w:rPr>
                <w:rFonts w:hint="eastAsia" w:ascii="宋体" w:hAnsi="宋体" w:cs="宋体"/>
                <w:color w:val="000000"/>
                <w:kern w:val="0"/>
                <w:sz w:val="20"/>
              </w:rPr>
              <w:t>城市管理行政处罚事项</w:t>
            </w:r>
          </w:p>
        </w:tc>
        <w:tc>
          <w:tcPr>
            <w:tcW w:w="765" w:type="dxa"/>
            <w:vAlign w:val="center"/>
          </w:tcPr>
          <w:p>
            <w:pPr>
              <w:widowControl/>
              <w:jc w:val="center"/>
              <w:textAlignment w:val="center"/>
              <w:rPr>
                <w:rFonts w:ascii="宋体" w:cs="宋体"/>
                <w:color w:val="000000"/>
                <w:kern w:val="0"/>
                <w:sz w:val="20"/>
              </w:rPr>
            </w:pPr>
            <w:r>
              <w:rPr>
                <w:rFonts w:hint="eastAsia" w:ascii="宋体" w:hAnsi="宋体" w:cs="宋体"/>
                <w:color w:val="000000"/>
                <w:kern w:val="0"/>
                <w:sz w:val="20"/>
              </w:rPr>
              <w:t>无</w:t>
            </w:r>
          </w:p>
        </w:tc>
        <w:tc>
          <w:tcPr>
            <w:tcW w:w="2389" w:type="dxa"/>
            <w:vAlign w:val="center"/>
          </w:tcPr>
          <w:p>
            <w:pPr>
              <w:widowControl/>
              <w:spacing w:line="220" w:lineRule="exact"/>
              <w:jc w:val="left"/>
              <w:textAlignment w:val="center"/>
              <w:rPr>
                <w:rFonts w:ascii="宋体" w:cs="宋体"/>
                <w:color w:val="000000"/>
                <w:kern w:val="0"/>
                <w:sz w:val="19"/>
                <w:szCs w:val="19"/>
              </w:rPr>
            </w:pPr>
            <w:r>
              <w:rPr>
                <w:rFonts w:ascii="宋体" w:hAnsi="宋体" w:cs="宋体"/>
                <w:b/>
                <w:bCs/>
                <w:color w:val="000000"/>
                <w:kern w:val="0"/>
                <w:sz w:val="19"/>
                <w:szCs w:val="19"/>
              </w:rPr>
              <w:t>1</w:t>
            </w:r>
            <w:r>
              <w:rPr>
                <w:rFonts w:hint="eastAsia" w:ascii="宋体" w:hAnsi="宋体" w:cs="宋体"/>
                <w:b/>
                <w:bCs/>
                <w:color w:val="000000"/>
                <w:kern w:val="0"/>
                <w:sz w:val="19"/>
                <w:szCs w:val="19"/>
              </w:rPr>
              <w:t>、立案阶段责任：</w:t>
            </w:r>
            <w:r>
              <w:rPr>
                <w:rFonts w:hint="eastAsia" w:ascii="宋体" w:hAnsi="宋体" w:cs="宋体"/>
                <w:color w:val="000000"/>
                <w:kern w:val="0"/>
                <w:sz w:val="19"/>
                <w:szCs w:val="19"/>
              </w:rPr>
              <w:t>城市管理执法部门应当自收到投诉、申诉、举报、其他机关移送、上级机关交办等材料之日起七个工作日内予以核查，并决定是否立案；特殊情况下，可以延长至十五个工作日。不予立案的，应将结果告知具名的投诉人、申诉人、举报人。</w:t>
            </w:r>
            <w:r>
              <w:rPr>
                <w:rFonts w:ascii="宋体" w:hAnsi="宋体" w:cs="宋体"/>
                <w:b/>
                <w:bCs/>
                <w:color w:val="000000"/>
                <w:kern w:val="0"/>
                <w:sz w:val="19"/>
                <w:szCs w:val="19"/>
              </w:rPr>
              <w:t>2</w:t>
            </w:r>
            <w:r>
              <w:rPr>
                <w:rFonts w:hint="eastAsia" w:ascii="宋体" w:hAnsi="宋体" w:cs="宋体"/>
                <w:b/>
                <w:bCs/>
                <w:color w:val="000000"/>
                <w:kern w:val="0"/>
                <w:sz w:val="19"/>
                <w:szCs w:val="19"/>
              </w:rPr>
              <w:t>、调查取证责任：</w:t>
            </w:r>
            <w:r>
              <w:rPr>
                <w:rFonts w:hint="eastAsia" w:ascii="宋体" w:hAnsi="宋体" w:cs="宋体"/>
                <w:color w:val="000000"/>
                <w:kern w:val="0"/>
                <w:sz w:val="19"/>
                <w:szCs w:val="19"/>
              </w:rPr>
              <w:t>告知当事人有申请办案人员回避的权利。办案人员不得少于两人，一般应当着城管制服，并出示行政执法证件。收集证据程序和要求应当符合行政处罚法的规定。违法事实不成立，应当予以销案；案件不属于本机关管辖应当移交其他行政机关管辖的；涉嫌犯罪的应当移送司法机关。</w:t>
            </w:r>
            <w:r>
              <w:rPr>
                <w:rFonts w:ascii="宋体" w:hAnsi="宋体" w:cs="宋体"/>
                <w:b/>
                <w:bCs/>
                <w:color w:val="000000"/>
                <w:kern w:val="0"/>
                <w:sz w:val="19"/>
                <w:szCs w:val="19"/>
              </w:rPr>
              <w:t>3</w:t>
            </w:r>
            <w:r>
              <w:rPr>
                <w:rFonts w:hint="eastAsia" w:ascii="宋体" w:hAnsi="宋体" w:cs="宋体"/>
                <w:b/>
                <w:bCs/>
                <w:color w:val="000000"/>
                <w:kern w:val="0"/>
                <w:sz w:val="19"/>
                <w:szCs w:val="19"/>
              </w:rPr>
              <w:t>、审查阶段责任：</w:t>
            </w:r>
            <w:r>
              <w:rPr>
                <w:rFonts w:hint="eastAsia" w:ascii="宋体" w:hAnsi="宋体" w:cs="宋体"/>
                <w:color w:val="000000"/>
                <w:kern w:val="0"/>
                <w:sz w:val="19"/>
                <w:szCs w:val="19"/>
              </w:rPr>
              <w:t>办案机构应将案卷、拟作出的行政处罚建议提交市局法制科初审后，将初审意见按程序报局长、副局长审定。</w:t>
            </w:r>
            <w:r>
              <w:rPr>
                <w:rFonts w:ascii="宋体" w:hAnsi="宋体" w:cs="宋体"/>
                <w:b/>
                <w:bCs/>
                <w:color w:val="000000"/>
                <w:kern w:val="0"/>
                <w:sz w:val="19"/>
                <w:szCs w:val="19"/>
              </w:rPr>
              <w:t>4</w:t>
            </w:r>
            <w:r>
              <w:rPr>
                <w:rFonts w:hint="eastAsia" w:ascii="宋体" w:hAnsi="宋体" w:cs="宋体"/>
                <w:b/>
                <w:bCs/>
                <w:color w:val="000000"/>
                <w:kern w:val="0"/>
                <w:sz w:val="19"/>
                <w:szCs w:val="19"/>
              </w:rPr>
              <w:t>、告知阶段责任：</w:t>
            </w:r>
            <w:r>
              <w:rPr>
                <w:rFonts w:hint="eastAsia" w:ascii="宋体" w:hAnsi="宋体" w:cs="宋体"/>
                <w:color w:val="000000"/>
                <w:kern w:val="0"/>
                <w:sz w:val="19"/>
                <w:szCs w:val="19"/>
              </w:rPr>
              <w:t>告知当事人拟作出行政处罚的事实、理由、依据、处罚内容，并告知当事人依法享有陈述、申辩权等。属于听证范围的，告知当事人有要求举行听证的权利。对当事人要求举行听证的，应当按照要求举行听证会。</w:t>
            </w:r>
            <w:r>
              <w:rPr>
                <w:rFonts w:ascii="宋体" w:hAnsi="宋体" w:cs="宋体"/>
                <w:b/>
                <w:bCs/>
                <w:color w:val="000000"/>
                <w:kern w:val="0"/>
                <w:sz w:val="19"/>
                <w:szCs w:val="19"/>
              </w:rPr>
              <w:t>5</w:t>
            </w:r>
            <w:r>
              <w:rPr>
                <w:rFonts w:hint="eastAsia" w:ascii="宋体" w:hAnsi="宋体" w:cs="宋体"/>
                <w:b/>
                <w:bCs/>
                <w:color w:val="000000"/>
                <w:kern w:val="0"/>
                <w:sz w:val="19"/>
                <w:szCs w:val="19"/>
              </w:rPr>
              <w:t>、决定阶段责任：</w:t>
            </w:r>
            <w:r>
              <w:rPr>
                <w:rFonts w:hint="eastAsia" w:ascii="宋体" w:hAnsi="宋体" w:cs="宋体"/>
                <w:color w:val="000000"/>
                <w:kern w:val="0"/>
                <w:sz w:val="19"/>
                <w:szCs w:val="19"/>
              </w:rPr>
              <w:t>市局法制科、三区局及委托执法单位负责人按审批权限经对案件调查终结报告、核审意见或者听证报告，当事人的陈述、申辩意见，拟作出的行政处罚决定进行审查，根据不同情况分别作出给予行政处罚、销案、不予行政处罚、移送其他机关等处理决定。对重大、复杂案件，或者重大违法行为给予较重处罚的案件，应当提交局有关会议集体讨论决定。</w:t>
            </w:r>
            <w:r>
              <w:rPr>
                <w:rFonts w:ascii="宋体" w:hAnsi="宋体" w:cs="宋体"/>
                <w:b/>
                <w:bCs/>
                <w:color w:val="000000"/>
                <w:kern w:val="0"/>
                <w:sz w:val="19"/>
                <w:szCs w:val="19"/>
              </w:rPr>
              <w:t>6</w:t>
            </w:r>
            <w:r>
              <w:rPr>
                <w:rFonts w:hint="eastAsia" w:ascii="宋体" w:hAnsi="宋体" w:cs="宋体"/>
                <w:b/>
                <w:bCs/>
                <w:color w:val="000000"/>
                <w:kern w:val="0"/>
                <w:sz w:val="19"/>
                <w:szCs w:val="19"/>
              </w:rPr>
              <w:t>、送达阶段责任：</w:t>
            </w:r>
            <w:r>
              <w:rPr>
                <w:rFonts w:hint="eastAsia" w:ascii="宋体" w:hAnsi="宋体" w:cs="宋体"/>
                <w:color w:val="000000"/>
                <w:kern w:val="0"/>
                <w:sz w:val="19"/>
                <w:szCs w:val="19"/>
              </w:rPr>
              <w:t>制作行政处罚决定书并依法送达。</w:t>
            </w:r>
            <w:r>
              <w:rPr>
                <w:rFonts w:ascii="宋体" w:hAnsi="宋体" w:cs="宋体"/>
                <w:b/>
                <w:bCs/>
                <w:color w:val="000000"/>
                <w:kern w:val="0"/>
                <w:sz w:val="19"/>
                <w:szCs w:val="19"/>
              </w:rPr>
              <w:t>7</w:t>
            </w:r>
            <w:r>
              <w:rPr>
                <w:rFonts w:hint="eastAsia" w:ascii="宋体" w:hAnsi="宋体" w:cs="宋体"/>
                <w:b/>
                <w:bCs/>
                <w:color w:val="000000"/>
                <w:kern w:val="0"/>
                <w:sz w:val="19"/>
                <w:szCs w:val="19"/>
              </w:rPr>
              <w:t>、执行阶段责任：</w:t>
            </w:r>
            <w:r>
              <w:rPr>
                <w:rFonts w:hint="eastAsia" w:ascii="宋体" w:hAnsi="宋体" w:cs="宋体"/>
                <w:color w:val="000000"/>
                <w:kern w:val="0"/>
                <w:sz w:val="19"/>
                <w:szCs w:val="19"/>
              </w:rPr>
              <w:t>监督当事人在决定的期限内，履行生效的行政处罚决定。当事人在法定期限内不申请行政复议或者提起行政诉讼，又不履行的，可依法采取加处罚款或向人民法院申请强制执行等措施。</w:t>
            </w:r>
          </w:p>
        </w:tc>
        <w:tc>
          <w:tcPr>
            <w:tcW w:w="1314" w:type="dxa"/>
            <w:gridSpan w:val="3"/>
            <w:vAlign w:val="center"/>
          </w:tcPr>
          <w:p>
            <w:pPr>
              <w:widowControl/>
              <w:spacing w:line="240" w:lineRule="exact"/>
              <w:textAlignment w:val="center"/>
              <w:rPr>
                <w:rFonts w:ascii="宋体" w:cs="宋体"/>
                <w:color w:val="000000"/>
                <w:kern w:val="0"/>
                <w:sz w:val="20"/>
              </w:rPr>
            </w:pPr>
            <w:r>
              <w:rPr>
                <w:rFonts w:ascii="宋体" w:hAnsi="宋体" w:cs="宋体"/>
                <w:color w:val="000000"/>
                <w:kern w:val="0"/>
                <w:sz w:val="20"/>
              </w:rPr>
              <w:t>1</w:t>
            </w:r>
            <w:r>
              <w:rPr>
                <w:rFonts w:hint="eastAsia" w:ascii="宋体" w:hAnsi="宋体" w:cs="宋体"/>
                <w:color w:val="000000"/>
                <w:kern w:val="0"/>
                <w:sz w:val="20"/>
              </w:rPr>
              <w:t>、《行政处罚法》第三十一条、第三十二条、第三十七条、第三十八条、第四十条。</w:t>
            </w:r>
            <w:r>
              <w:rPr>
                <w:rFonts w:ascii="宋体" w:hAnsi="宋体" w:cs="宋体"/>
                <w:color w:val="000000"/>
                <w:kern w:val="0"/>
                <w:sz w:val="20"/>
              </w:rPr>
              <w:t>2</w:t>
            </w:r>
            <w:r>
              <w:rPr>
                <w:rFonts w:hint="eastAsia" w:ascii="宋体" w:hAnsi="宋体" w:cs="宋体"/>
                <w:color w:val="000000"/>
                <w:kern w:val="0"/>
                <w:sz w:val="20"/>
              </w:rPr>
              <w:t>、《行政强制法》第五十三条。</w:t>
            </w:r>
            <w:r>
              <w:rPr>
                <w:rFonts w:ascii="宋体" w:cs="宋体"/>
                <w:color w:val="000000"/>
                <w:kern w:val="0"/>
                <w:sz w:val="20"/>
              </w:rPr>
              <w:br w:type="textWrapping"/>
            </w:r>
            <w:r>
              <w:rPr>
                <w:rFonts w:hint="eastAsia" w:ascii="宋体" w:hAnsi="宋体" w:cs="宋体"/>
                <w:color w:val="000000"/>
                <w:kern w:val="0"/>
                <w:sz w:val="20"/>
              </w:rPr>
              <w:t>　　</w:t>
            </w:r>
          </w:p>
        </w:tc>
        <w:tc>
          <w:tcPr>
            <w:tcW w:w="1745" w:type="dxa"/>
            <w:vAlign w:val="center"/>
          </w:tcPr>
          <w:p>
            <w:pPr>
              <w:widowControl/>
              <w:spacing w:line="240" w:lineRule="exact"/>
              <w:jc w:val="left"/>
              <w:textAlignment w:val="center"/>
              <w:rPr>
                <w:rFonts w:ascii="宋体" w:cs="宋体"/>
                <w:color w:val="000000"/>
                <w:kern w:val="0"/>
                <w:sz w:val="20"/>
              </w:rPr>
            </w:pPr>
            <w:r>
              <w:rPr>
                <w:rFonts w:hint="eastAsia" w:ascii="宋体" w:hAnsi="宋体" w:cs="宋体"/>
                <w:color w:val="000000"/>
                <w:kern w:val="0"/>
                <w:sz w:val="20"/>
              </w:rPr>
              <w:t>因不履行或不正确履行行政职责，有下列情形的，行政机关及其工作人员应当承担相应责任：</w:t>
            </w:r>
            <w:r>
              <w:rPr>
                <w:rFonts w:ascii="宋体" w:hAnsi="宋体" w:cs="宋体"/>
                <w:color w:val="000000"/>
                <w:kern w:val="0"/>
                <w:sz w:val="20"/>
              </w:rPr>
              <w:t>1</w:t>
            </w:r>
            <w:r>
              <w:rPr>
                <w:rFonts w:hint="eastAsia" w:ascii="宋体" w:hAnsi="宋体" w:cs="宋体"/>
                <w:color w:val="000000"/>
                <w:kern w:val="0"/>
                <w:sz w:val="20"/>
              </w:rPr>
              <w:t>、对应当予以制止和处罚的违法行为不予制止、处罚的，致使公民、法人或者其他组织的合法权益、公共利益和社会秩序遭受损害的；</w:t>
            </w:r>
            <w:r>
              <w:rPr>
                <w:rFonts w:ascii="宋体" w:hAnsi="宋体" w:cs="宋体"/>
                <w:color w:val="000000"/>
                <w:kern w:val="0"/>
                <w:sz w:val="20"/>
              </w:rPr>
              <w:t>2</w:t>
            </w:r>
            <w:r>
              <w:rPr>
                <w:rFonts w:hint="eastAsia" w:ascii="宋体" w:hAnsi="宋体" w:cs="宋体"/>
                <w:color w:val="000000"/>
                <w:kern w:val="0"/>
                <w:sz w:val="20"/>
              </w:rPr>
              <w:t>、不具备行政执法资格实施行政处罚的；</w:t>
            </w:r>
            <w:r>
              <w:rPr>
                <w:rFonts w:ascii="宋体" w:hAnsi="宋体" w:cs="宋体"/>
                <w:color w:val="000000"/>
                <w:kern w:val="0"/>
                <w:sz w:val="20"/>
              </w:rPr>
              <w:t>3</w:t>
            </w:r>
            <w:r>
              <w:rPr>
                <w:rFonts w:hint="eastAsia" w:ascii="宋体" w:hAnsi="宋体" w:cs="宋体"/>
                <w:color w:val="000000"/>
                <w:kern w:val="0"/>
                <w:sz w:val="20"/>
              </w:rPr>
              <w:t>、没有法律和事实依据实施行政处罚的；</w:t>
            </w:r>
            <w:r>
              <w:rPr>
                <w:rFonts w:ascii="宋体" w:hAnsi="宋体" w:cs="宋体"/>
                <w:color w:val="000000"/>
                <w:kern w:val="0"/>
                <w:sz w:val="20"/>
              </w:rPr>
              <w:t>4</w:t>
            </w:r>
            <w:r>
              <w:rPr>
                <w:rFonts w:hint="eastAsia" w:ascii="宋体" w:hAnsi="宋体" w:cs="宋体"/>
                <w:color w:val="000000"/>
                <w:kern w:val="0"/>
                <w:sz w:val="20"/>
              </w:rPr>
              <w:t>、滥用行政处罚自由裁量权造成影响的；</w:t>
            </w:r>
            <w:r>
              <w:rPr>
                <w:rFonts w:ascii="宋体" w:hAnsi="宋体" w:cs="宋体"/>
                <w:color w:val="000000"/>
                <w:kern w:val="0"/>
                <w:sz w:val="20"/>
              </w:rPr>
              <w:t>5</w:t>
            </w:r>
            <w:r>
              <w:rPr>
                <w:rFonts w:hint="eastAsia" w:ascii="宋体" w:hAnsi="宋体" w:cs="宋体"/>
                <w:color w:val="000000"/>
                <w:kern w:val="0"/>
                <w:sz w:val="20"/>
              </w:rPr>
              <w:t>、对当事人进行处罚不使用罚款单据或者使用非财政部门制发的罚款单据的，或违反规定罚缴分离规定自行收缴罚没款的；</w:t>
            </w:r>
            <w:r>
              <w:rPr>
                <w:rFonts w:ascii="宋体" w:hAnsi="宋体" w:cs="宋体"/>
                <w:color w:val="000000"/>
                <w:kern w:val="0"/>
                <w:sz w:val="20"/>
              </w:rPr>
              <w:t>6</w:t>
            </w:r>
            <w:r>
              <w:rPr>
                <w:rFonts w:hint="eastAsia" w:ascii="宋体" w:hAnsi="宋体" w:cs="宋体"/>
                <w:color w:val="000000"/>
                <w:kern w:val="0"/>
                <w:sz w:val="20"/>
              </w:rPr>
              <w:t>、应当依法移送追究刑事责任，而未依法移送司法机关的；</w:t>
            </w:r>
            <w:r>
              <w:rPr>
                <w:rFonts w:ascii="宋体" w:hAnsi="宋体" w:cs="宋体"/>
                <w:color w:val="000000"/>
                <w:kern w:val="0"/>
                <w:sz w:val="20"/>
              </w:rPr>
              <w:t>7</w:t>
            </w:r>
            <w:r>
              <w:rPr>
                <w:rFonts w:hint="eastAsia" w:ascii="宋体" w:hAnsi="宋体" w:cs="宋体"/>
                <w:color w:val="000000"/>
                <w:kern w:val="0"/>
                <w:sz w:val="20"/>
              </w:rPr>
              <w:t>、擅自改变行政处罚种类、幅度的；</w:t>
            </w:r>
            <w:r>
              <w:rPr>
                <w:rFonts w:ascii="宋体" w:hAnsi="宋体" w:cs="宋体"/>
                <w:color w:val="000000"/>
                <w:kern w:val="0"/>
                <w:sz w:val="20"/>
              </w:rPr>
              <w:t>8</w:t>
            </w:r>
            <w:r>
              <w:rPr>
                <w:rFonts w:hint="eastAsia" w:ascii="宋体" w:hAnsi="宋体" w:cs="宋体"/>
                <w:color w:val="000000"/>
                <w:kern w:val="0"/>
                <w:sz w:val="20"/>
              </w:rPr>
              <w:t>、违反法定的行政处罚程序的；</w:t>
            </w:r>
            <w:r>
              <w:rPr>
                <w:rFonts w:ascii="宋体" w:hAnsi="宋体" w:cs="宋体"/>
                <w:color w:val="000000"/>
                <w:kern w:val="0"/>
                <w:sz w:val="20"/>
              </w:rPr>
              <w:t>9</w:t>
            </w:r>
            <w:r>
              <w:rPr>
                <w:rFonts w:hint="eastAsia" w:ascii="宋体" w:hAnsi="宋体" w:cs="宋体"/>
                <w:color w:val="000000"/>
                <w:kern w:val="0"/>
                <w:sz w:val="20"/>
              </w:rPr>
              <w:t>、符合听证条件、行政管理相对人要求听证，应予组织听证而不组织听证的；</w:t>
            </w:r>
            <w:r>
              <w:rPr>
                <w:rFonts w:ascii="宋体" w:hAnsi="宋体" w:cs="宋体"/>
                <w:color w:val="000000"/>
                <w:kern w:val="0"/>
                <w:sz w:val="20"/>
              </w:rPr>
              <w:t>10</w:t>
            </w:r>
            <w:r>
              <w:rPr>
                <w:rFonts w:hint="eastAsia" w:ascii="宋体" w:hAnsi="宋体" w:cs="宋体"/>
                <w:color w:val="000000"/>
                <w:kern w:val="0"/>
                <w:sz w:val="20"/>
              </w:rPr>
              <w:t>、在行政处罚过程中发生腐败行为的；</w:t>
            </w:r>
            <w:r>
              <w:rPr>
                <w:rFonts w:ascii="宋体" w:hAnsi="宋体" w:cs="宋体"/>
                <w:color w:val="000000"/>
                <w:kern w:val="0"/>
                <w:sz w:val="20"/>
              </w:rPr>
              <w:t>11</w:t>
            </w:r>
            <w:r>
              <w:rPr>
                <w:rFonts w:hint="eastAsia" w:ascii="宋体" w:hAnsi="宋体" w:cs="宋体"/>
                <w:color w:val="000000"/>
                <w:kern w:val="0"/>
                <w:sz w:val="20"/>
              </w:rPr>
              <w:t>、其他违反法律法规规章文件规定的行为。</w:t>
            </w:r>
          </w:p>
        </w:tc>
        <w:tc>
          <w:tcPr>
            <w:tcW w:w="2369" w:type="dxa"/>
            <w:gridSpan w:val="2"/>
            <w:vAlign w:val="center"/>
          </w:tcPr>
          <w:p>
            <w:pPr>
              <w:widowControl/>
              <w:spacing w:line="240" w:lineRule="exact"/>
              <w:jc w:val="left"/>
              <w:textAlignment w:val="center"/>
              <w:rPr>
                <w:rFonts w:ascii="宋体" w:cs="宋体"/>
                <w:color w:val="000000"/>
                <w:kern w:val="0"/>
                <w:sz w:val="20"/>
              </w:rPr>
            </w:pPr>
            <w:r>
              <w:rPr>
                <w:rFonts w:ascii="宋体" w:hAnsi="宋体" w:cs="宋体"/>
                <w:color w:val="000000"/>
                <w:kern w:val="0"/>
                <w:sz w:val="20"/>
              </w:rPr>
              <w:t>1.</w:t>
            </w:r>
            <w:r>
              <w:rPr>
                <w:rFonts w:hint="eastAsia" w:ascii="宋体" w:hAnsi="宋体" w:cs="宋体"/>
                <w:color w:val="000000"/>
                <w:kern w:val="0"/>
                <w:sz w:val="20"/>
              </w:rPr>
              <w:t>《行政处罚法》第五十九条“行政机关使用或者损毁扣押的财物，对当事人造成损失的，应当依法予以赔偿，对直接负责的主管人员和其他直接责任人员依法给予行政处分。”</w:t>
            </w:r>
            <w:r>
              <w:rPr>
                <w:rFonts w:ascii="宋体" w:hAnsi="宋体" w:cs="宋体"/>
                <w:color w:val="000000"/>
                <w:kern w:val="0"/>
                <w:sz w:val="20"/>
              </w:rPr>
              <w:t>2.</w:t>
            </w:r>
            <w:r>
              <w:rPr>
                <w:rFonts w:hint="eastAsia" w:ascii="宋体" w:hAnsi="宋体" w:cs="宋体"/>
                <w:color w:val="000000"/>
                <w:kern w:val="0"/>
                <w:sz w:val="20"/>
              </w:rPr>
              <w:t>《湖南省行政执法条例》第三十一条：行政机关对受委托的组织执法行政行为进行指导和监督，并对该行为承担法律后果，对违法委托的予以撤销，造成管理秩序混乱的，由本级人民政府或有关主管部门对法定代表人或有关责任人员给予行政处分。第三十二条：不符合法定权限、不依照法定程序、证据不确凿、实事不清楚、不正确使用法律法规规章、处理不公正等行为，责令改正变更或者撤销行政处罚决定，本级人民政府或者有关主管部门对有关责任人员给予行政处分。第三十三条：违反本条例第十八条规定的超越职权、滥用职权、索贿受贿、敲诈勒索、弄虚作假、徇私枉法、庇护违法人员、故意推诿不履行法定职责、庇护本地方、本部门、本行业的不正当利益、其他损害国家利益和公共利益的行为，由本级人民政府或者上级人民政府主管部门给予通报批评，对其法定代表人或者有关责任人员由本级人民政府或者有关主管部门给予行政处分；构成犯罪的，依法追究刑事责任。</w:t>
            </w:r>
          </w:p>
        </w:tc>
        <w:tc>
          <w:tcPr>
            <w:tcW w:w="508" w:type="dxa"/>
            <w:vAlign w:val="center"/>
          </w:tcPr>
          <w:p>
            <w:pPr>
              <w:widowControl/>
              <w:jc w:val="left"/>
              <w:textAlignment w:val="center"/>
              <w:rPr>
                <w:rFonts w:ascii="宋体" w:cs="宋体"/>
                <w:color w:val="000000"/>
                <w:kern w:val="0"/>
                <w:sz w:val="20"/>
                <w:szCs w:val="18"/>
              </w:rPr>
            </w:pPr>
            <w:r>
              <w:rPr>
                <w:rFonts w:hint="eastAsia" w:ascii="宋体" w:hAnsi="宋体" w:cs="宋体"/>
                <w:color w:val="000000"/>
                <w:kern w:val="0"/>
                <w:sz w:val="20"/>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1" w:hRule="atLeast"/>
          <w:jc w:val="center"/>
        </w:trPr>
        <w:tc>
          <w:tcPr>
            <w:tcW w:w="511" w:type="dxa"/>
            <w:vAlign w:val="center"/>
          </w:tcPr>
          <w:p>
            <w:pPr>
              <w:widowControl/>
              <w:jc w:val="center"/>
              <w:textAlignment w:val="center"/>
              <w:rPr>
                <w:rFonts w:ascii="宋体" w:hAnsi="宋体" w:cs="宋体"/>
                <w:color w:val="000000"/>
                <w:kern w:val="0"/>
                <w:sz w:val="20"/>
                <w:szCs w:val="18"/>
              </w:rPr>
            </w:pPr>
            <w:r>
              <w:rPr>
                <w:rFonts w:ascii="宋体" w:hAnsi="宋体" w:cs="宋体"/>
                <w:color w:val="000000"/>
                <w:kern w:val="0"/>
                <w:sz w:val="20"/>
                <w:szCs w:val="18"/>
              </w:rPr>
              <w:t>6</w:t>
            </w:r>
          </w:p>
        </w:tc>
        <w:tc>
          <w:tcPr>
            <w:tcW w:w="624"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城市管理行政强制事项</w:t>
            </w:r>
          </w:p>
        </w:tc>
        <w:tc>
          <w:tcPr>
            <w:tcW w:w="765" w:type="dxa"/>
            <w:vAlign w:val="center"/>
          </w:tcPr>
          <w:p>
            <w:pPr>
              <w:widowControl/>
              <w:jc w:val="center"/>
              <w:textAlignment w:val="center"/>
              <w:rPr>
                <w:rFonts w:ascii="宋体" w:cs="宋体"/>
                <w:color w:val="000000"/>
                <w:kern w:val="0"/>
                <w:sz w:val="20"/>
                <w:szCs w:val="18"/>
              </w:rPr>
            </w:pPr>
            <w:r>
              <w:rPr>
                <w:rFonts w:hint="eastAsia" w:ascii="宋体" w:hAnsi="宋体" w:cs="宋体"/>
                <w:color w:val="000000"/>
                <w:kern w:val="0"/>
                <w:sz w:val="20"/>
                <w:szCs w:val="18"/>
              </w:rPr>
              <w:t>无</w:t>
            </w:r>
          </w:p>
        </w:tc>
        <w:tc>
          <w:tcPr>
            <w:tcW w:w="2506" w:type="dxa"/>
            <w:gridSpan w:val="2"/>
            <w:vAlign w:val="center"/>
          </w:tcPr>
          <w:p>
            <w:pPr>
              <w:widowControl/>
              <w:spacing w:line="240" w:lineRule="exact"/>
              <w:jc w:val="left"/>
              <w:textAlignment w:val="center"/>
              <w:rPr>
                <w:rFonts w:ascii="宋体" w:cs="宋体"/>
                <w:b/>
                <w:bCs/>
                <w:color w:val="000000"/>
                <w:kern w:val="0"/>
                <w:sz w:val="20"/>
                <w:szCs w:val="18"/>
              </w:rPr>
            </w:pPr>
            <w:r>
              <w:rPr>
                <w:rFonts w:ascii="宋体" w:hAnsi="宋体" w:cs="宋体"/>
                <w:b/>
                <w:bCs/>
                <w:color w:val="000000"/>
                <w:kern w:val="0"/>
                <w:sz w:val="20"/>
                <w:szCs w:val="18"/>
              </w:rPr>
              <w:t>1</w:t>
            </w:r>
            <w:r>
              <w:rPr>
                <w:rFonts w:hint="eastAsia" w:ascii="宋体" w:hAnsi="宋体" w:cs="宋体"/>
                <w:b/>
                <w:bCs/>
                <w:color w:val="000000"/>
                <w:kern w:val="0"/>
                <w:sz w:val="20"/>
                <w:szCs w:val="18"/>
              </w:rPr>
              <w:t>、案件审查阶段责任：</w:t>
            </w:r>
            <w:r>
              <w:rPr>
                <w:rFonts w:hint="eastAsia" w:ascii="宋体" w:hAnsi="宋体" w:cs="宋体"/>
                <w:color w:val="000000"/>
                <w:kern w:val="0"/>
                <w:sz w:val="20"/>
                <w:szCs w:val="18"/>
              </w:rPr>
              <w:t>城市管理执法部门应当自收到投诉、申诉、举报、其他机关移送、上级机关交办等材料之日起七个工作日内予以核查，并决定是否立案；特殊情况下，可以延长至十五个工作日。不予立案的，应将结果告知具名的投诉人、申诉人、举报人。告知当事人有申请办案人员回避的权利。办案人员不得少于两人，一般应当着城管制服，并出示行政执法证件。收集证据程序和要求应当符合行政处罚法的规定。违法事实不成立，应当予以销案；案件不属于本机关管辖应当移交其他行政机关管辖的；涉嫌犯罪的应当移送司法机关。办案机构应将案卷、拟作出的行政强制建议提交市局法制科初审后，将初审意见按程序报局长、副局长审定。</w:t>
            </w:r>
            <w:r>
              <w:rPr>
                <w:rFonts w:ascii="宋体" w:hAnsi="宋体" w:cs="宋体"/>
                <w:b/>
                <w:bCs/>
                <w:color w:val="000000"/>
                <w:kern w:val="0"/>
                <w:sz w:val="20"/>
                <w:szCs w:val="18"/>
              </w:rPr>
              <w:t>2</w:t>
            </w:r>
            <w:r>
              <w:rPr>
                <w:rFonts w:hint="eastAsia" w:ascii="宋体" w:hAnsi="宋体" w:cs="宋体"/>
                <w:b/>
                <w:bCs/>
                <w:color w:val="000000"/>
                <w:kern w:val="0"/>
                <w:sz w:val="20"/>
                <w:szCs w:val="18"/>
              </w:rPr>
              <w:t>、告知阶段责任：</w:t>
            </w:r>
            <w:r>
              <w:rPr>
                <w:rFonts w:hint="eastAsia" w:ascii="宋体" w:hAnsi="宋体" w:cs="宋体"/>
                <w:color w:val="000000"/>
                <w:kern w:val="0"/>
                <w:sz w:val="20"/>
                <w:szCs w:val="18"/>
              </w:rPr>
              <w:t>告知当事人拟作出行政强制的事实、理由、依据、处罚内容，并告知当事人依法享有陈述、申辩权等。属于听证范围的，告知当事人有要求举行听证的权利。对当事人要求举行听证的，应当按照要求举行听证会。</w:t>
            </w:r>
            <w:r>
              <w:rPr>
                <w:rFonts w:ascii="宋体" w:hAnsi="宋体" w:cs="宋体"/>
                <w:b/>
                <w:bCs/>
                <w:color w:val="000000"/>
                <w:kern w:val="0"/>
                <w:sz w:val="20"/>
                <w:szCs w:val="18"/>
              </w:rPr>
              <w:t>3</w:t>
            </w:r>
            <w:r>
              <w:rPr>
                <w:rFonts w:hint="eastAsia" w:ascii="宋体" w:hAnsi="宋体" w:cs="宋体"/>
                <w:b/>
                <w:bCs/>
                <w:color w:val="000000"/>
                <w:kern w:val="0"/>
                <w:sz w:val="20"/>
                <w:szCs w:val="18"/>
              </w:rPr>
              <w:t>、送达阶段责任：</w:t>
            </w:r>
            <w:r>
              <w:rPr>
                <w:rFonts w:hint="eastAsia" w:ascii="宋体" w:hAnsi="宋体" w:cs="宋体"/>
                <w:color w:val="000000"/>
                <w:kern w:val="0"/>
                <w:sz w:val="20"/>
                <w:szCs w:val="18"/>
              </w:rPr>
              <w:t>制作行政强制执行决定书并依法送达。</w:t>
            </w:r>
            <w:r>
              <w:rPr>
                <w:rFonts w:ascii="宋体" w:hAnsi="宋体" w:cs="宋体"/>
                <w:b/>
                <w:bCs/>
                <w:color w:val="000000"/>
                <w:kern w:val="0"/>
                <w:sz w:val="20"/>
                <w:szCs w:val="18"/>
              </w:rPr>
              <w:t>4</w:t>
            </w:r>
            <w:r>
              <w:rPr>
                <w:rFonts w:hint="eastAsia" w:ascii="宋体" w:hAnsi="宋体" w:cs="宋体"/>
                <w:b/>
                <w:bCs/>
                <w:color w:val="000000"/>
                <w:kern w:val="0"/>
                <w:sz w:val="20"/>
                <w:szCs w:val="18"/>
              </w:rPr>
              <w:t>、执行阶段责任：</w:t>
            </w:r>
            <w:r>
              <w:rPr>
                <w:rFonts w:hint="eastAsia" w:ascii="宋体" w:hAnsi="宋体" w:cs="宋体"/>
                <w:color w:val="000000"/>
                <w:kern w:val="0"/>
                <w:sz w:val="20"/>
                <w:szCs w:val="18"/>
              </w:rPr>
              <w:t>在法定期限内，依法强制执行。</w:t>
            </w:r>
          </w:p>
        </w:tc>
        <w:tc>
          <w:tcPr>
            <w:tcW w:w="963" w:type="dxa"/>
            <w:vAlign w:val="center"/>
          </w:tcPr>
          <w:p>
            <w:pPr>
              <w:widowControl/>
              <w:spacing w:line="240" w:lineRule="exact"/>
              <w:textAlignment w:val="center"/>
              <w:rPr>
                <w:rFonts w:ascii="宋体" w:cs="宋体"/>
                <w:color w:val="000000"/>
                <w:kern w:val="0"/>
                <w:sz w:val="20"/>
                <w:szCs w:val="18"/>
              </w:rPr>
            </w:pPr>
            <w:r>
              <w:rPr>
                <w:rFonts w:ascii="宋体" w:hAnsi="宋体" w:cs="宋体"/>
                <w:color w:val="000000"/>
                <w:kern w:val="0"/>
                <w:sz w:val="20"/>
                <w:szCs w:val="18"/>
              </w:rPr>
              <w:t>1</w:t>
            </w:r>
            <w:r>
              <w:rPr>
                <w:rFonts w:hint="eastAsia" w:ascii="宋体" w:hAnsi="宋体" w:cs="宋体"/>
                <w:color w:val="000000"/>
                <w:kern w:val="0"/>
                <w:sz w:val="20"/>
                <w:szCs w:val="18"/>
              </w:rPr>
              <w:t>、《行政处罚法》第三十一条、第三十二条、第三十七条、第三十八条、第四十条。</w:t>
            </w:r>
            <w:r>
              <w:rPr>
                <w:rFonts w:ascii="宋体" w:hAnsi="宋体" w:cs="宋体"/>
                <w:color w:val="000000"/>
                <w:kern w:val="0"/>
                <w:sz w:val="20"/>
                <w:szCs w:val="18"/>
              </w:rPr>
              <w:t>2</w:t>
            </w:r>
            <w:r>
              <w:rPr>
                <w:rFonts w:hint="eastAsia" w:ascii="宋体" w:hAnsi="宋体" w:cs="宋体"/>
                <w:color w:val="000000"/>
                <w:kern w:val="0"/>
                <w:sz w:val="20"/>
                <w:szCs w:val="18"/>
              </w:rPr>
              <w:t>、《行政强制法》第五十三条。</w:t>
            </w:r>
            <w:r>
              <w:rPr>
                <w:rFonts w:ascii="宋体" w:cs="宋体"/>
                <w:color w:val="000000"/>
                <w:kern w:val="0"/>
                <w:sz w:val="20"/>
                <w:szCs w:val="18"/>
              </w:rPr>
              <w:br w:type="textWrapping"/>
            </w:r>
            <w:r>
              <w:rPr>
                <w:rFonts w:hint="eastAsia" w:ascii="宋体" w:hAnsi="宋体" w:cs="宋体"/>
                <w:color w:val="000000"/>
                <w:kern w:val="0"/>
                <w:sz w:val="20"/>
                <w:szCs w:val="18"/>
              </w:rPr>
              <w:t>　　</w:t>
            </w:r>
          </w:p>
        </w:tc>
        <w:tc>
          <w:tcPr>
            <w:tcW w:w="2132" w:type="dxa"/>
            <w:gridSpan w:val="3"/>
            <w:vAlign w:val="center"/>
          </w:tcPr>
          <w:p>
            <w:pPr>
              <w:widowControl/>
              <w:spacing w:line="240" w:lineRule="exact"/>
              <w:jc w:val="left"/>
              <w:textAlignment w:val="center"/>
              <w:rPr>
                <w:rFonts w:ascii="宋体" w:cs="宋体"/>
                <w:color w:val="000000"/>
                <w:kern w:val="0"/>
                <w:sz w:val="20"/>
                <w:szCs w:val="18"/>
              </w:rPr>
            </w:pPr>
            <w:r>
              <w:rPr>
                <w:rFonts w:hint="eastAsia" w:ascii="宋体" w:hAnsi="宋体" w:cs="宋体"/>
                <w:color w:val="000000"/>
                <w:kern w:val="0"/>
                <w:sz w:val="20"/>
                <w:szCs w:val="18"/>
              </w:rPr>
              <w:t>因不履行或不正确履行行政职责，有下列情形的，行政机关及其工作人员应当承担相应责任：</w:t>
            </w:r>
            <w:r>
              <w:rPr>
                <w:rFonts w:ascii="宋体" w:hAnsi="宋体" w:cs="宋体"/>
                <w:color w:val="000000"/>
                <w:kern w:val="0"/>
                <w:sz w:val="20"/>
                <w:szCs w:val="18"/>
              </w:rPr>
              <w:t>1</w:t>
            </w:r>
            <w:r>
              <w:rPr>
                <w:rFonts w:hint="eastAsia" w:ascii="宋体" w:hAnsi="宋体" w:cs="宋体"/>
                <w:color w:val="000000"/>
                <w:kern w:val="0"/>
                <w:sz w:val="20"/>
                <w:szCs w:val="18"/>
              </w:rPr>
              <w:t>、对应当予以制止和处罚的违法行为不予制止、处罚的，致使公民、法人或者其他组织的合法权益、公共利益和社会秩序遭受损害的；</w:t>
            </w:r>
            <w:r>
              <w:rPr>
                <w:rFonts w:ascii="宋体" w:hAnsi="宋体" w:cs="宋体"/>
                <w:color w:val="000000"/>
                <w:kern w:val="0"/>
                <w:sz w:val="20"/>
                <w:szCs w:val="18"/>
              </w:rPr>
              <w:t>2</w:t>
            </w:r>
            <w:r>
              <w:rPr>
                <w:rFonts w:hint="eastAsia" w:ascii="宋体" w:hAnsi="宋体" w:cs="宋体"/>
                <w:color w:val="000000"/>
                <w:kern w:val="0"/>
                <w:sz w:val="20"/>
                <w:szCs w:val="18"/>
              </w:rPr>
              <w:t>、不具备行政执法资格实施行政处罚的；</w:t>
            </w:r>
            <w:r>
              <w:rPr>
                <w:rFonts w:ascii="宋体" w:hAnsi="宋体" w:cs="宋体"/>
                <w:color w:val="000000"/>
                <w:kern w:val="0"/>
                <w:sz w:val="20"/>
                <w:szCs w:val="18"/>
              </w:rPr>
              <w:t>3</w:t>
            </w:r>
            <w:r>
              <w:rPr>
                <w:rFonts w:hint="eastAsia" w:ascii="宋体" w:hAnsi="宋体" w:cs="宋体"/>
                <w:color w:val="000000"/>
                <w:kern w:val="0"/>
                <w:sz w:val="20"/>
                <w:szCs w:val="18"/>
              </w:rPr>
              <w:t>、没有法律和事实依据实施行政处罚的；</w:t>
            </w:r>
            <w:r>
              <w:rPr>
                <w:rFonts w:ascii="宋体" w:hAnsi="宋体" w:cs="宋体"/>
                <w:color w:val="000000"/>
                <w:kern w:val="0"/>
                <w:sz w:val="20"/>
                <w:szCs w:val="18"/>
              </w:rPr>
              <w:t>4</w:t>
            </w:r>
            <w:r>
              <w:rPr>
                <w:rFonts w:hint="eastAsia" w:ascii="宋体" w:hAnsi="宋体" w:cs="宋体"/>
                <w:color w:val="000000"/>
                <w:kern w:val="0"/>
                <w:sz w:val="20"/>
                <w:szCs w:val="18"/>
              </w:rPr>
              <w:t>、滥用行政处罚自由裁量权造成影响的；</w:t>
            </w:r>
            <w:r>
              <w:rPr>
                <w:rFonts w:ascii="宋体" w:hAnsi="宋体" w:cs="宋体"/>
                <w:color w:val="000000"/>
                <w:kern w:val="0"/>
                <w:sz w:val="20"/>
                <w:szCs w:val="18"/>
              </w:rPr>
              <w:t>5</w:t>
            </w:r>
            <w:r>
              <w:rPr>
                <w:rFonts w:hint="eastAsia" w:ascii="宋体" w:hAnsi="宋体" w:cs="宋体"/>
                <w:color w:val="000000"/>
                <w:kern w:val="0"/>
                <w:sz w:val="20"/>
                <w:szCs w:val="18"/>
              </w:rPr>
              <w:t>、对当事人进行处罚不使用罚款单据或者使用非财政部门制发的罚款单据的，或违反规定罚缴分离规定自行收缴罚没款的；</w:t>
            </w:r>
            <w:r>
              <w:rPr>
                <w:rFonts w:ascii="宋体" w:hAnsi="宋体" w:cs="宋体"/>
                <w:color w:val="000000"/>
                <w:kern w:val="0"/>
                <w:sz w:val="20"/>
                <w:szCs w:val="18"/>
              </w:rPr>
              <w:t>6</w:t>
            </w:r>
            <w:r>
              <w:rPr>
                <w:rFonts w:hint="eastAsia" w:ascii="宋体" w:hAnsi="宋体" w:cs="宋体"/>
                <w:color w:val="000000"/>
                <w:kern w:val="0"/>
                <w:sz w:val="20"/>
                <w:szCs w:val="18"/>
              </w:rPr>
              <w:t>、应当依法移送追究刑事责任，而未依法移送司法机关的；</w:t>
            </w:r>
            <w:r>
              <w:rPr>
                <w:rFonts w:ascii="宋体" w:hAnsi="宋体" w:cs="宋体"/>
                <w:color w:val="000000"/>
                <w:kern w:val="0"/>
                <w:sz w:val="20"/>
                <w:szCs w:val="18"/>
              </w:rPr>
              <w:t>7</w:t>
            </w:r>
            <w:r>
              <w:rPr>
                <w:rFonts w:hint="eastAsia" w:ascii="宋体" w:hAnsi="宋体" w:cs="宋体"/>
                <w:color w:val="000000"/>
                <w:kern w:val="0"/>
                <w:sz w:val="20"/>
                <w:szCs w:val="18"/>
              </w:rPr>
              <w:t>、擅自改变行政处罚种类、幅度的；</w:t>
            </w:r>
            <w:r>
              <w:rPr>
                <w:rFonts w:ascii="宋体" w:hAnsi="宋体" w:cs="宋体"/>
                <w:color w:val="000000"/>
                <w:kern w:val="0"/>
                <w:sz w:val="20"/>
                <w:szCs w:val="18"/>
              </w:rPr>
              <w:t>8</w:t>
            </w:r>
            <w:r>
              <w:rPr>
                <w:rFonts w:hint="eastAsia" w:ascii="宋体" w:hAnsi="宋体" w:cs="宋体"/>
                <w:color w:val="000000"/>
                <w:kern w:val="0"/>
                <w:sz w:val="20"/>
                <w:szCs w:val="18"/>
              </w:rPr>
              <w:t>、违反法定的行政处罚程序的；</w:t>
            </w:r>
            <w:r>
              <w:rPr>
                <w:rFonts w:ascii="宋体" w:hAnsi="宋体" w:cs="宋体"/>
                <w:color w:val="000000"/>
                <w:kern w:val="0"/>
                <w:sz w:val="20"/>
                <w:szCs w:val="18"/>
              </w:rPr>
              <w:t>9</w:t>
            </w:r>
            <w:r>
              <w:rPr>
                <w:rFonts w:hint="eastAsia" w:ascii="宋体" w:hAnsi="宋体" w:cs="宋体"/>
                <w:color w:val="000000"/>
                <w:kern w:val="0"/>
                <w:sz w:val="20"/>
                <w:szCs w:val="18"/>
              </w:rPr>
              <w:t>、符合听证条件、行政管理相对人要求听证，应予组织听证而不组织听证的；</w:t>
            </w:r>
            <w:r>
              <w:rPr>
                <w:rFonts w:ascii="宋体" w:hAnsi="宋体" w:cs="宋体"/>
                <w:color w:val="000000"/>
                <w:kern w:val="0"/>
                <w:sz w:val="20"/>
                <w:szCs w:val="18"/>
              </w:rPr>
              <w:t>10</w:t>
            </w:r>
            <w:r>
              <w:rPr>
                <w:rFonts w:hint="eastAsia" w:ascii="宋体" w:hAnsi="宋体" w:cs="宋体"/>
                <w:color w:val="000000"/>
                <w:kern w:val="0"/>
                <w:sz w:val="20"/>
                <w:szCs w:val="18"/>
              </w:rPr>
              <w:t>、在行政处罚过程中发生腐败行为的；</w:t>
            </w:r>
            <w:r>
              <w:rPr>
                <w:rFonts w:ascii="宋体" w:hAnsi="宋体" w:cs="宋体"/>
                <w:color w:val="000000"/>
                <w:kern w:val="0"/>
                <w:sz w:val="20"/>
                <w:szCs w:val="18"/>
              </w:rPr>
              <w:t>11</w:t>
            </w:r>
            <w:r>
              <w:rPr>
                <w:rFonts w:hint="eastAsia" w:ascii="宋体" w:hAnsi="宋体" w:cs="宋体"/>
                <w:color w:val="000000"/>
                <w:kern w:val="0"/>
                <w:sz w:val="20"/>
                <w:szCs w:val="18"/>
              </w:rPr>
              <w:t>、其他违反法律法规规章文件规定的行为。</w:t>
            </w:r>
          </w:p>
        </w:tc>
        <w:tc>
          <w:tcPr>
            <w:tcW w:w="2216" w:type="dxa"/>
            <w:vAlign w:val="center"/>
          </w:tcPr>
          <w:p>
            <w:pPr>
              <w:widowControl/>
              <w:spacing w:line="196" w:lineRule="exact"/>
              <w:jc w:val="left"/>
              <w:textAlignment w:val="center"/>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《行政处罚法》第五十九条“行政机关使用或者损毁扣押的财物，对当事人造成损失的，应当依法予以赔偿，对直接负责的主管人员和其他直接责任人员依法给予行政处分。”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2</w:t>
            </w:r>
            <w:r>
              <w:rPr>
                <w:rFonts w:hint="eastAsia" w:ascii="宋体" w:hAnsi="宋体" w:cs="宋体"/>
                <w:color w:val="000000"/>
                <w:kern w:val="0"/>
                <w:sz w:val="18"/>
                <w:szCs w:val="18"/>
              </w:rPr>
              <w:t>、《行政强制法》</w:t>
            </w:r>
            <w:r>
              <w:rPr>
                <w:rFonts w:hint="eastAsia" w:ascii="宋体" w:hAnsi="宋体"/>
                <w:color w:val="000000"/>
                <w:kern w:val="0"/>
                <w:sz w:val="18"/>
                <w:szCs w:val="18"/>
              </w:rPr>
              <w:t>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第六十三条　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第六十四条　行政机关及其工作人员利用行政强制权为单位或者个人谋取利益的，由上级行政机关或者有关部门责令改正，对直接负责的主管人员和其他直接责任人员依法给予处分。</w:t>
            </w:r>
          </w:p>
        </w:tc>
        <w:tc>
          <w:tcPr>
            <w:tcW w:w="508" w:type="dxa"/>
            <w:vAlign w:val="center"/>
          </w:tcPr>
          <w:p>
            <w:pPr>
              <w:widowControl/>
              <w:textAlignment w:val="center"/>
              <w:rPr>
                <w:rFonts w:ascii="宋体" w:cs="宋体"/>
                <w:color w:val="000000"/>
                <w:kern w:val="0"/>
                <w:sz w:val="20"/>
                <w:szCs w:val="18"/>
              </w:rPr>
            </w:pPr>
          </w:p>
        </w:tc>
      </w:tr>
    </w:tbl>
    <w:p>
      <w:pPr>
        <w:tabs>
          <w:tab w:val="left" w:pos="0"/>
        </w:tabs>
        <w:spacing w:line="40" w:lineRule="exact"/>
        <w:jc w:val="center"/>
        <w:rPr>
          <w:rFonts w:ascii="方正小标宋简体" w:eastAsia="方正小标宋简体" w:cs="方正小标宋_GBK"/>
          <w:color w:val="000000"/>
          <w:sz w:val="18"/>
          <w:szCs w:val="18"/>
        </w:rPr>
      </w:pPr>
    </w:p>
    <w:p>
      <w:pPr>
        <w:tabs>
          <w:tab w:val="left" w:pos="0"/>
        </w:tabs>
        <w:spacing w:line="480" w:lineRule="auto"/>
        <w:jc w:val="center"/>
        <w:rPr>
          <w:rFonts w:ascii="方正小标宋简体" w:eastAsia="方正小标宋简体" w:cs="方正小标宋_GBK"/>
          <w:color w:val="000000"/>
          <w:sz w:val="44"/>
          <w:szCs w:val="44"/>
        </w:rPr>
      </w:pPr>
      <w:r>
        <w:rPr>
          <w:rFonts w:ascii="方正小标宋简体" w:eastAsia="方正小标宋简体" w:cs="方正小标宋_GBK"/>
          <w:color w:val="000000"/>
          <w:sz w:val="44"/>
          <w:szCs w:val="44"/>
        </w:rPr>
        <w:br w:type="page"/>
      </w:r>
      <w:r>
        <w:rPr>
          <w:rFonts w:hint="eastAsia" w:ascii="方正小标宋简体" w:eastAsia="方正小标宋简体" w:cs="方正小标宋_GBK"/>
          <w:color w:val="000000"/>
          <w:sz w:val="44"/>
          <w:szCs w:val="44"/>
        </w:rPr>
        <w:t>二、与相关部门的职责边界</w:t>
      </w:r>
    </w:p>
    <w:p>
      <w:pPr>
        <w:tabs>
          <w:tab w:val="left" w:pos="0"/>
        </w:tabs>
        <w:spacing w:line="480" w:lineRule="auto"/>
        <w:rPr>
          <w:rFonts w:ascii="仿宋_GB2312" w:eastAsia="仿宋_GB2312" w:cs="方正小标宋_GBK"/>
          <w:color w:val="000000"/>
          <w:sz w:val="32"/>
          <w:szCs w:val="32"/>
        </w:rPr>
      </w:pPr>
      <w:r>
        <w:rPr>
          <w:rFonts w:hint="eastAsia" w:ascii="仿宋_GB2312" w:eastAsia="仿宋_GB2312" w:cs="方正小标宋_GBK"/>
          <w:color w:val="000000"/>
          <w:sz w:val="32"/>
          <w:szCs w:val="32"/>
        </w:rPr>
        <w:t>部门名称</w:t>
      </w:r>
      <w:r>
        <w:rPr>
          <w:rFonts w:hint="eastAsia" w:ascii="仿宋_GB2312" w:hAnsi="宋体" w:eastAsia="仿宋_GB2312" w:cs="仿宋"/>
          <w:color w:val="000000"/>
          <w:sz w:val="32"/>
          <w:szCs w:val="32"/>
        </w:rPr>
        <w:t>（盖章）</w:t>
      </w:r>
      <w:r>
        <w:rPr>
          <w:rFonts w:hint="eastAsia" w:ascii="仿宋_GB2312" w:eastAsia="仿宋_GB2312" w:cs="方正小标宋_GBK"/>
          <w:color w:val="000000"/>
          <w:sz w:val="32"/>
          <w:szCs w:val="32"/>
        </w:rPr>
        <w:t>：大祥区城市管理行政执法局</w:t>
      </w:r>
    </w:p>
    <w:tbl>
      <w:tblPr>
        <w:tblStyle w:val="5"/>
        <w:tblW w:w="9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185"/>
        <w:gridCol w:w="914"/>
        <w:gridCol w:w="2430"/>
        <w:gridCol w:w="2254"/>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07"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序号</w:t>
            </w:r>
          </w:p>
        </w:tc>
        <w:tc>
          <w:tcPr>
            <w:tcW w:w="1185"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管理</w:t>
            </w:r>
          </w:p>
          <w:p>
            <w:pPr>
              <w:spacing w:line="300" w:lineRule="exact"/>
              <w:jc w:val="center"/>
              <w:rPr>
                <w:rFonts w:ascii="宋体" w:cs="黑体"/>
                <w:color w:val="000000"/>
                <w:sz w:val="19"/>
                <w:szCs w:val="21"/>
              </w:rPr>
            </w:pPr>
            <w:r>
              <w:rPr>
                <w:rFonts w:hint="eastAsia" w:ascii="宋体" w:hAnsi="宋体" w:cs="黑体"/>
                <w:color w:val="000000"/>
                <w:sz w:val="19"/>
                <w:szCs w:val="21"/>
              </w:rPr>
              <w:t>事项</w:t>
            </w:r>
          </w:p>
        </w:tc>
        <w:tc>
          <w:tcPr>
            <w:tcW w:w="914"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相关</w:t>
            </w:r>
          </w:p>
          <w:p>
            <w:pPr>
              <w:spacing w:line="300" w:lineRule="exact"/>
              <w:jc w:val="center"/>
              <w:rPr>
                <w:rFonts w:ascii="宋体" w:cs="黑体"/>
                <w:color w:val="000000"/>
                <w:sz w:val="19"/>
                <w:szCs w:val="21"/>
              </w:rPr>
            </w:pPr>
            <w:r>
              <w:rPr>
                <w:rFonts w:hint="eastAsia" w:ascii="宋体" w:hAnsi="宋体" w:cs="黑体"/>
                <w:color w:val="000000"/>
                <w:sz w:val="19"/>
                <w:szCs w:val="21"/>
              </w:rPr>
              <w:t>部门</w:t>
            </w:r>
          </w:p>
        </w:tc>
        <w:tc>
          <w:tcPr>
            <w:tcW w:w="2430"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职责分工</w:t>
            </w:r>
          </w:p>
        </w:tc>
        <w:tc>
          <w:tcPr>
            <w:tcW w:w="2254"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相关依据</w:t>
            </w:r>
          </w:p>
        </w:tc>
        <w:tc>
          <w:tcPr>
            <w:tcW w:w="1800" w:type="dxa"/>
            <w:vAlign w:val="center"/>
          </w:tcPr>
          <w:p>
            <w:pPr>
              <w:spacing w:line="300" w:lineRule="exact"/>
              <w:jc w:val="center"/>
              <w:rPr>
                <w:rFonts w:ascii="宋体" w:cs="黑体"/>
                <w:color w:val="000000"/>
                <w:sz w:val="19"/>
                <w:szCs w:val="21"/>
              </w:rPr>
            </w:pPr>
            <w:r>
              <w:rPr>
                <w:rFonts w:hint="eastAsia" w:ascii="宋体" w:hAnsi="宋体" w:cs="黑体"/>
                <w:color w:val="000000"/>
                <w:sz w:val="19"/>
                <w:szCs w:val="21"/>
              </w:rPr>
              <w:t>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07" w:type="dxa"/>
            <w:vAlign w:val="center"/>
          </w:tcPr>
          <w:p>
            <w:pPr>
              <w:spacing w:line="300" w:lineRule="exact"/>
              <w:jc w:val="center"/>
              <w:rPr>
                <w:rFonts w:ascii="宋体" w:hAnsi="宋体" w:cs="仿宋"/>
                <w:color w:val="000000"/>
                <w:sz w:val="19"/>
                <w:szCs w:val="21"/>
              </w:rPr>
            </w:pPr>
            <w:r>
              <w:rPr>
                <w:rFonts w:ascii="宋体" w:hAnsi="宋体" w:cs="仿宋"/>
                <w:color w:val="000000"/>
                <w:sz w:val="19"/>
                <w:szCs w:val="21"/>
              </w:rPr>
              <w:t>1</w:t>
            </w:r>
          </w:p>
        </w:tc>
        <w:tc>
          <w:tcPr>
            <w:tcW w:w="1185"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城市道路占用挖掘管理</w:t>
            </w:r>
          </w:p>
        </w:tc>
        <w:tc>
          <w:tcPr>
            <w:tcW w:w="91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市交警支队、市政公司</w:t>
            </w:r>
          </w:p>
        </w:tc>
        <w:tc>
          <w:tcPr>
            <w:tcW w:w="243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交警部门负责施划城市道路交通标线标识；市政公司负责道路维护</w:t>
            </w:r>
          </w:p>
        </w:tc>
        <w:tc>
          <w:tcPr>
            <w:tcW w:w="225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《城市道路管理条例》、《湖南省市政公用设施管理办法》</w:t>
            </w:r>
          </w:p>
        </w:tc>
        <w:tc>
          <w:tcPr>
            <w:tcW w:w="1800" w:type="dxa"/>
            <w:vAlign w:val="center"/>
          </w:tcPr>
          <w:p>
            <w:pPr>
              <w:spacing w:line="300" w:lineRule="exact"/>
              <w:rPr>
                <w:rFonts w:ascii="宋体" w:cs="仿宋"/>
                <w:color w:val="000000"/>
                <w:sz w:val="1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atLeast"/>
          <w:jc w:val="center"/>
        </w:trPr>
        <w:tc>
          <w:tcPr>
            <w:tcW w:w="707" w:type="dxa"/>
            <w:vAlign w:val="center"/>
          </w:tcPr>
          <w:p>
            <w:pPr>
              <w:spacing w:line="300" w:lineRule="exact"/>
              <w:jc w:val="center"/>
              <w:rPr>
                <w:rFonts w:ascii="宋体" w:hAnsi="宋体" w:cs="仿宋"/>
                <w:color w:val="000000"/>
                <w:sz w:val="19"/>
                <w:szCs w:val="21"/>
              </w:rPr>
            </w:pPr>
            <w:r>
              <w:rPr>
                <w:rFonts w:ascii="宋体" w:hAnsi="宋体" w:cs="仿宋"/>
                <w:color w:val="000000"/>
                <w:sz w:val="19"/>
                <w:szCs w:val="21"/>
              </w:rPr>
              <w:t>2</w:t>
            </w:r>
          </w:p>
        </w:tc>
        <w:tc>
          <w:tcPr>
            <w:tcW w:w="1185"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城区户外广告设置</w:t>
            </w:r>
          </w:p>
        </w:tc>
        <w:tc>
          <w:tcPr>
            <w:tcW w:w="91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市工商局、市规划局、市住建局</w:t>
            </w:r>
          </w:p>
        </w:tc>
        <w:tc>
          <w:tcPr>
            <w:tcW w:w="243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由规划部门按照《</w:t>
            </w:r>
            <w:r>
              <w:rPr>
                <w:rFonts w:ascii="宋体" w:hAnsi="宋体" w:cs="仿宋"/>
                <w:color w:val="000000"/>
                <w:sz w:val="19"/>
                <w:szCs w:val="21"/>
              </w:rPr>
              <w:t>2012-2020</w:t>
            </w:r>
            <w:r>
              <w:rPr>
                <w:rFonts w:hint="eastAsia" w:ascii="宋体" w:hAnsi="宋体" w:cs="仿宋"/>
                <w:color w:val="000000"/>
                <w:sz w:val="19"/>
                <w:szCs w:val="21"/>
              </w:rPr>
              <w:t>邵阳市户外广告布局专项规划》出具审查意见；工商部门负责广告内容合法性审查；住建部门对在建（构）筑物墙体、屋顶上设置大型户外广告出具审查意见</w:t>
            </w:r>
          </w:p>
        </w:tc>
        <w:tc>
          <w:tcPr>
            <w:tcW w:w="225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中华人民共和国广告法》、湖南省实施《中华人民共和国广告法》办法、《城市市容和环境卫生管理条例》、建设部《加强户外广告霓虹灯设置管理的规定》、《邵阳市城区户外广告设置管理暂行办法》、《邵阳市户外广告布局专项规划》</w:t>
            </w:r>
          </w:p>
        </w:tc>
        <w:tc>
          <w:tcPr>
            <w:tcW w:w="1800" w:type="dxa"/>
            <w:vAlign w:val="center"/>
          </w:tcPr>
          <w:p>
            <w:pPr>
              <w:spacing w:line="300" w:lineRule="exact"/>
              <w:rPr>
                <w:rFonts w:ascii="宋体" w:cs="仿宋"/>
                <w:color w:val="000000"/>
                <w:sz w:val="1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jc w:val="center"/>
        </w:trPr>
        <w:tc>
          <w:tcPr>
            <w:tcW w:w="707" w:type="dxa"/>
            <w:vAlign w:val="center"/>
          </w:tcPr>
          <w:p>
            <w:pPr>
              <w:spacing w:line="300" w:lineRule="exact"/>
              <w:jc w:val="center"/>
              <w:rPr>
                <w:rFonts w:ascii="宋体" w:hAnsi="宋体" w:cs="仿宋"/>
                <w:color w:val="000000"/>
                <w:sz w:val="19"/>
                <w:szCs w:val="21"/>
              </w:rPr>
            </w:pPr>
            <w:r>
              <w:rPr>
                <w:rFonts w:ascii="宋体" w:hAnsi="宋体" w:cs="仿宋"/>
                <w:color w:val="000000"/>
                <w:sz w:val="19"/>
                <w:szCs w:val="21"/>
              </w:rPr>
              <w:t>3</w:t>
            </w:r>
          </w:p>
        </w:tc>
        <w:tc>
          <w:tcPr>
            <w:tcW w:w="1185"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城市建筑垃圾运输、处理</w:t>
            </w:r>
          </w:p>
        </w:tc>
        <w:tc>
          <w:tcPr>
            <w:tcW w:w="91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市物价局、市财政局、市政务中心</w:t>
            </w:r>
          </w:p>
        </w:tc>
        <w:tc>
          <w:tcPr>
            <w:tcW w:w="243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收费：物价部门核定收费标准；通过市政务中心窗口代征；市财政统一结算。</w:t>
            </w:r>
          </w:p>
          <w:p>
            <w:pPr>
              <w:spacing w:line="300" w:lineRule="exact"/>
              <w:rPr>
                <w:rFonts w:ascii="宋体" w:cs="仿宋"/>
                <w:color w:val="000000"/>
                <w:sz w:val="19"/>
                <w:szCs w:val="21"/>
              </w:rPr>
            </w:pPr>
            <w:r>
              <w:rPr>
                <w:rFonts w:hint="eastAsia" w:ascii="宋体" w:hAnsi="宋体" w:cs="仿宋"/>
                <w:color w:val="000000"/>
                <w:sz w:val="19"/>
                <w:szCs w:val="21"/>
              </w:rPr>
              <w:t>管理：市渣土办牵头，三区渣土办加强日常监管。</w:t>
            </w:r>
          </w:p>
        </w:tc>
        <w:tc>
          <w:tcPr>
            <w:tcW w:w="225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《城市建筑垃圾管理规定》、《邵阳市建筑垃圾和工程渣土处置管理办法》</w:t>
            </w:r>
          </w:p>
        </w:tc>
        <w:tc>
          <w:tcPr>
            <w:tcW w:w="1800" w:type="dxa"/>
            <w:vAlign w:val="center"/>
          </w:tcPr>
          <w:p>
            <w:pPr>
              <w:spacing w:line="300" w:lineRule="exact"/>
              <w:rPr>
                <w:rFonts w:ascii="宋体" w:cs="仿宋"/>
                <w:color w:val="000000"/>
                <w:sz w:val="1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707" w:type="dxa"/>
            <w:vAlign w:val="center"/>
          </w:tcPr>
          <w:p>
            <w:pPr>
              <w:spacing w:line="300" w:lineRule="exact"/>
              <w:jc w:val="center"/>
              <w:rPr>
                <w:rFonts w:ascii="宋体" w:hAnsi="宋体" w:cs="仿宋"/>
                <w:color w:val="000000"/>
                <w:sz w:val="19"/>
                <w:szCs w:val="21"/>
              </w:rPr>
            </w:pPr>
            <w:r>
              <w:rPr>
                <w:rFonts w:ascii="宋体" w:hAnsi="宋体" w:cs="仿宋"/>
                <w:color w:val="000000"/>
                <w:sz w:val="19"/>
                <w:szCs w:val="21"/>
              </w:rPr>
              <w:t>4</w:t>
            </w:r>
          </w:p>
        </w:tc>
        <w:tc>
          <w:tcPr>
            <w:tcW w:w="1185" w:type="dxa"/>
            <w:vAlign w:val="center"/>
          </w:tcPr>
          <w:p>
            <w:pPr>
              <w:spacing w:line="300" w:lineRule="exact"/>
              <w:rPr>
                <w:rFonts w:ascii="宋体" w:cs="仿宋"/>
                <w:color w:val="000000"/>
                <w:sz w:val="19"/>
                <w:szCs w:val="21"/>
              </w:rPr>
            </w:pPr>
            <w:r>
              <w:rPr>
                <w:rFonts w:hint="eastAsia" w:ascii="宋体" w:hAnsi="宋体" w:cs="仿宋"/>
                <w:color w:val="000000"/>
                <w:sz w:val="19"/>
                <w:szCs w:val="21"/>
              </w:rPr>
              <w:t>环保噪音行政处罚权</w:t>
            </w:r>
          </w:p>
        </w:tc>
        <w:tc>
          <w:tcPr>
            <w:tcW w:w="91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市环保局</w:t>
            </w:r>
          </w:p>
        </w:tc>
        <w:tc>
          <w:tcPr>
            <w:tcW w:w="243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城管部门主要是开展了高考期间的“静音行动”。</w:t>
            </w:r>
          </w:p>
        </w:tc>
        <w:tc>
          <w:tcPr>
            <w:tcW w:w="225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《中华人民共和国行政处罚法》、《中华人民共和国环境</w:t>
            </w:r>
            <w:r>
              <w:rPr>
                <w:rFonts w:hint="eastAsia" w:ascii="宋体" w:hAnsi="宋体" w:cs="仿宋"/>
                <w:color w:val="000000"/>
                <w:sz w:val="19"/>
                <w:szCs w:val="21"/>
                <w:lang w:eastAsia="zh-CN"/>
              </w:rPr>
              <w:t>噪声污染</w:t>
            </w:r>
            <w:r>
              <w:rPr>
                <w:rFonts w:hint="eastAsia" w:ascii="宋体" w:hAnsi="宋体" w:cs="仿宋"/>
                <w:color w:val="000000"/>
                <w:sz w:val="19"/>
                <w:szCs w:val="21"/>
              </w:rPr>
              <w:t>防治法》</w:t>
            </w:r>
          </w:p>
        </w:tc>
        <w:tc>
          <w:tcPr>
            <w:tcW w:w="180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由于职责界定不清，多年来城南公园等广场噪音扰民一直得不到有效处理。</w:t>
            </w:r>
          </w:p>
          <w:p>
            <w:pPr>
              <w:spacing w:line="300" w:lineRule="exact"/>
              <w:rPr>
                <w:rFonts w:ascii="宋体" w:cs="仿宋"/>
                <w:color w:val="000000"/>
                <w:sz w:val="19"/>
                <w:szCs w:val="21"/>
              </w:rPr>
            </w:pPr>
            <w:r>
              <w:rPr>
                <w:rFonts w:hint="eastAsia" w:ascii="宋体" w:hAnsi="宋体" w:cs="仿宋"/>
                <w:color w:val="000000"/>
                <w:sz w:val="19"/>
                <w:szCs w:val="21"/>
              </w:rPr>
              <w:t>建议由环保部门一家行使执法权。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707" w:type="dxa"/>
            <w:vAlign w:val="center"/>
          </w:tcPr>
          <w:p>
            <w:pPr>
              <w:spacing w:line="300" w:lineRule="exact"/>
              <w:jc w:val="center"/>
              <w:rPr>
                <w:rFonts w:ascii="宋体" w:hAnsi="宋体" w:cs="仿宋"/>
                <w:color w:val="000000"/>
                <w:sz w:val="19"/>
                <w:szCs w:val="21"/>
              </w:rPr>
            </w:pPr>
            <w:r>
              <w:rPr>
                <w:rFonts w:ascii="宋体" w:hAnsi="宋体" w:cs="仿宋"/>
                <w:color w:val="000000"/>
                <w:sz w:val="19"/>
                <w:szCs w:val="21"/>
              </w:rPr>
              <w:t>5</w:t>
            </w:r>
          </w:p>
        </w:tc>
        <w:tc>
          <w:tcPr>
            <w:tcW w:w="1185" w:type="dxa"/>
            <w:vAlign w:val="center"/>
          </w:tcPr>
          <w:p>
            <w:pPr>
              <w:spacing w:line="300" w:lineRule="exact"/>
              <w:rPr>
                <w:rFonts w:ascii="宋体" w:cs="仿宋"/>
                <w:color w:val="000000"/>
                <w:sz w:val="19"/>
                <w:szCs w:val="21"/>
              </w:rPr>
            </w:pPr>
            <w:r>
              <w:rPr>
                <w:rFonts w:hint="eastAsia" w:ascii="宋体" w:hAnsi="宋体" w:cs="仿宋"/>
                <w:color w:val="000000"/>
                <w:sz w:val="19"/>
                <w:szCs w:val="21"/>
              </w:rPr>
              <w:t>无照经营行政处罚权</w:t>
            </w:r>
          </w:p>
        </w:tc>
        <w:tc>
          <w:tcPr>
            <w:tcW w:w="91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市工商局</w:t>
            </w:r>
          </w:p>
        </w:tc>
        <w:tc>
          <w:tcPr>
            <w:tcW w:w="243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城管部门主要是行使对自产蔬菜和农副产品未进入政府指定地点销售的无照经营的行政处罚权。</w:t>
            </w:r>
          </w:p>
        </w:tc>
        <w:tc>
          <w:tcPr>
            <w:tcW w:w="2254" w:type="dxa"/>
            <w:vAlign w:val="center"/>
          </w:tcPr>
          <w:p>
            <w:pPr>
              <w:spacing w:line="300" w:lineRule="exact"/>
              <w:rPr>
                <w:rFonts w:ascii="宋体" w:cs="仿宋"/>
                <w:color w:val="000000"/>
                <w:sz w:val="19"/>
                <w:szCs w:val="21"/>
              </w:rPr>
            </w:pPr>
            <w:r>
              <w:rPr>
                <w:rFonts w:hint="eastAsia" w:ascii="宋体" w:hAnsi="宋体" w:cs="仿宋"/>
                <w:color w:val="000000"/>
                <w:sz w:val="19"/>
                <w:szCs w:val="21"/>
              </w:rPr>
              <w:t>《中华人民共和国行政处罚法》、《城乡个体工商户管理条例》</w:t>
            </w:r>
          </w:p>
        </w:tc>
        <w:tc>
          <w:tcPr>
            <w:tcW w:w="1800" w:type="dxa"/>
            <w:vAlign w:val="center"/>
          </w:tcPr>
          <w:p>
            <w:pPr>
              <w:spacing w:line="300" w:lineRule="exact"/>
              <w:rPr>
                <w:rFonts w:ascii="宋体" w:cs="仿宋"/>
                <w:color w:val="000000"/>
                <w:sz w:val="19"/>
                <w:szCs w:val="21"/>
              </w:rPr>
            </w:pPr>
            <w:r>
              <w:rPr>
                <w:rFonts w:hint="eastAsia" w:ascii="宋体" w:hAnsi="宋体" w:cs="仿宋"/>
                <w:color w:val="000000"/>
                <w:sz w:val="19"/>
                <w:szCs w:val="21"/>
              </w:rPr>
              <w:t>建议调整统一由工商部门行使对无照经营的行政执法权。</w:t>
            </w:r>
          </w:p>
        </w:tc>
      </w:tr>
    </w:tbl>
    <w:p>
      <w:pPr>
        <w:spacing w:line="480" w:lineRule="auto"/>
        <w:rPr>
          <w:rFonts w:ascii="仿宋" w:eastAsia="仿宋" w:cs="仿宋"/>
          <w:color w:val="000000"/>
          <w:sz w:val="32"/>
          <w:szCs w:val="32"/>
        </w:rPr>
      </w:pPr>
    </w:p>
    <w:p>
      <w:pPr>
        <w:spacing w:line="600" w:lineRule="exact"/>
        <w:jc w:val="center"/>
        <w:rPr>
          <w:rFonts w:ascii="方正小标宋简体" w:eastAsia="方正小标宋简体" w:cs="方正小标宋_GBK"/>
          <w:color w:val="000000"/>
          <w:sz w:val="44"/>
          <w:szCs w:val="44"/>
        </w:rPr>
      </w:pPr>
      <w:r>
        <w:rPr>
          <w:rFonts w:ascii="方正小标宋简体" w:eastAsia="方正小标宋简体" w:cs="方正小标宋_GBK"/>
          <w:color w:val="000000"/>
          <w:sz w:val="44"/>
          <w:szCs w:val="44"/>
        </w:rPr>
        <w:br w:type="page"/>
      </w:r>
      <w:r>
        <w:rPr>
          <w:rFonts w:hint="eastAsia" w:ascii="方正小标宋简体" w:eastAsia="方正小标宋简体" w:cs="方正小标宋_GBK"/>
          <w:color w:val="000000"/>
          <w:sz w:val="44"/>
          <w:szCs w:val="44"/>
        </w:rPr>
        <w:t>三、事中事后监管制度</w:t>
      </w:r>
    </w:p>
    <w:p>
      <w:pPr>
        <w:spacing w:line="600" w:lineRule="exact"/>
        <w:rPr>
          <w:rFonts w:ascii="仿宋_GB2312" w:eastAsia="仿宋_GB2312" w:cs="方正小标宋_GBK"/>
          <w:color w:val="000000"/>
          <w:sz w:val="32"/>
          <w:szCs w:val="32"/>
        </w:rPr>
      </w:pPr>
    </w:p>
    <w:p>
      <w:pPr>
        <w:tabs>
          <w:tab w:val="left" w:pos="1080"/>
        </w:tabs>
        <w:spacing w:line="600" w:lineRule="exact"/>
        <w:jc w:val="center"/>
        <w:rPr>
          <w:rFonts w:ascii="仿宋_GB2312" w:eastAsia="仿宋_GB2312"/>
          <w:b/>
          <w:color w:val="000000"/>
          <w:sz w:val="32"/>
          <w:szCs w:val="32"/>
        </w:rPr>
      </w:pPr>
      <w:r>
        <w:rPr>
          <w:rFonts w:hint="eastAsia" w:ascii="仿宋_GB2312" w:hAnsi="宋体" w:eastAsia="仿宋_GB2312"/>
          <w:b/>
          <w:color w:val="000000"/>
          <w:sz w:val="32"/>
          <w:szCs w:val="32"/>
        </w:rPr>
        <w:t>（一）户外广告设施设置事项监管（小街小巷）</w:t>
      </w:r>
    </w:p>
    <w:p>
      <w:pPr>
        <w:spacing w:line="600" w:lineRule="exact"/>
        <w:jc w:val="center"/>
        <w:rPr>
          <w:rFonts w:ascii="仿宋_GB2312" w:hAnsi="宋体" w:eastAsia="仿宋_GB2312"/>
          <w:color w:val="000000"/>
          <w:sz w:val="32"/>
          <w:szCs w:val="32"/>
        </w:rPr>
      </w:pPr>
      <w:r>
        <w:rPr>
          <w:rFonts w:hint="eastAsia" w:ascii="仿宋_GB2312" w:hAnsi="宋体" w:eastAsia="仿宋_GB2312"/>
          <w:color w:val="000000"/>
          <w:sz w:val="32"/>
          <w:szCs w:val="32"/>
        </w:rPr>
        <w:t>单位名称：大祥区城市管理行政执法局</w:t>
      </w:r>
    </w:p>
    <w:p>
      <w:pPr>
        <w:spacing w:line="600" w:lineRule="exact"/>
        <w:rPr>
          <w:rFonts w:ascii="仿宋_GB2312" w:eastAsia="仿宋_GB2312"/>
          <w:color w:val="000000"/>
          <w:sz w:val="32"/>
          <w:szCs w:val="32"/>
        </w:rPr>
      </w:pPr>
    </w:p>
    <w:p>
      <w:pPr>
        <w:spacing w:line="600" w:lineRule="exact"/>
        <w:ind w:firstLine="616" w:firstLineChars="200"/>
        <w:rPr>
          <w:rFonts w:ascii="仿宋_GB2312" w:hAnsi="宋体" w:eastAsia="仿宋_GB2312"/>
          <w:color w:val="000000"/>
          <w:spacing w:val="-6"/>
          <w:sz w:val="32"/>
          <w:szCs w:val="32"/>
        </w:rPr>
      </w:pPr>
      <w:r>
        <w:rPr>
          <w:rFonts w:hint="eastAsia" w:ascii="仿宋_GB2312" w:hAnsi="宋体" w:eastAsia="仿宋_GB2312"/>
          <w:color w:val="000000"/>
          <w:spacing w:val="-6"/>
          <w:sz w:val="32"/>
          <w:szCs w:val="32"/>
        </w:rPr>
        <w:t>为规范户外广告的设置，加强户外广告的管理，促进户外广告健康发展，提升户外广告的品味，美化城市市容环境，加强户外广告设施安全管理，保障公众安全，特制定如下监管制度：</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一、监督检查对象</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大祥区行政区域内的区城规划区、重要交通沿线、风景旅游区、区域主要交通出入口等，利用户外场所、空间、设施等发布的广告。</w:t>
      </w:r>
    </w:p>
    <w:p>
      <w:pPr>
        <w:numPr>
          <w:ilvl w:val="0"/>
          <w:numId w:val="4"/>
        </w:num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监督检查内容</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户外广告设施的设置是否符合《城市市容环境和卫生管理条例》、《湖南省城市市容和环境卫生管理条例》、等相关法律、法规、规章的规定。主要检查下列事项：</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1</w:t>
      </w:r>
      <w:r>
        <w:rPr>
          <w:rFonts w:hint="eastAsia" w:ascii="仿宋_GB2312" w:hAnsi="宋体" w:eastAsia="仿宋_GB2312"/>
          <w:color w:val="000000"/>
          <w:sz w:val="32"/>
          <w:szCs w:val="32"/>
        </w:rPr>
        <w:t>、是否存在未经批准擅自设立户外广告设施的行为；</w:t>
      </w:r>
    </w:p>
    <w:p>
      <w:pPr>
        <w:spacing w:line="600" w:lineRule="exact"/>
        <w:ind w:firstLine="640" w:firstLineChars="200"/>
        <w:rPr>
          <w:rFonts w:ascii="仿宋_GB2312" w:hAnsi="宋体" w:eastAsia="仿宋_GB2312"/>
          <w:color w:val="000000"/>
          <w:spacing w:val="-6"/>
          <w:sz w:val="32"/>
          <w:szCs w:val="32"/>
        </w:rPr>
      </w:pPr>
      <w:r>
        <w:rPr>
          <w:rFonts w:ascii="仿宋_GB2312" w:hAnsi="宋体" w:eastAsia="仿宋_GB2312"/>
          <w:color w:val="000000"/>
          <w:sz w:val="32"/>
          <w:szCs w:val="32"/>
        </w:rPr>
        <w:t>2</w:t>
      </w:r>
      <w:r>
        <w:rPr>
          <w:rFonts w:hint="eastAsia" w:ascii="仿宋_GB2312" w:hAnsi="宋体" w:eastAsia="仿宋_GB2312"/>
          <w:color w:val="000000"/>
          <w:sz w:val="32"/>
          <w:szCs w:val="32"/>
        </w:rPr>
        <w:t>、</w:t>
      </w:r>
      <w:r>
        <w:rPr>
          <w:rFonts w:hint="eastAsia" w:ascii="仿宋_GB2312" w:hAnsi="宋体" w:eastAsia="仿宋_GB2312"/>
          <w:color w:val="000000"/>
          <w:spacing w:val="-6"/>
          <w:sz w:val="32"/>
          <w:szCs w:val="32"/>
        </w:rPr>
        <w:t>是否存在经批准后未在规定时间内完成广告发布的行为；</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3</w:t>
      </w:r>
      <w:r>
        <w:rPr>
          <w:rFonts w:hint="eastAsia" w:ascii="仿宋_GB2312" w:hAnsi="宋体" w:eastAsia="仿宋_GB2312"/>
          <w:color w:val="000000"/>
          <w:sz w:val="32"/>
          <w:szCs w:val="32"/>
        </w:rPr>
        <w:t>、是否存在未按批准的时间、地点、形式、规格、内容设置的行为；</w:t>
      </w:r>
    </w:p>
    <w:p>
      <w:pPr>
        <w:spacing w:line="600" w:lineRule="exact"/>
        <w:ind w:firstLine="640" w:firstLineChars="200"/>
        <w:rPr>
          <w:rFonts w:ascii="仿宋_GB2312" w:hAnsi="宋体" w:eastAsia="仿宋_GB2312"/>
          <w:color w:val="000000"/>
          <w:spacing w:val="-6"/>
          <w:sz w:val="32"/>
          <w:szCs w:val="32"/>
        </w:rPr>
      </w:pPr>
      <w:r>
        <w:rPr>
          <w:rFonts w:ascii="仿宋_GB2312" w:hAnsi="宋体" w:eastAsia="仿宋_GB2312"/>
          <w:color w:val="000000"/>
          <w:sz w:val="32"/>
          <w:szCs w:val="32"/>
        </w:rPr>
        <w:t>4</w:t>
      </w:r>
      <w:r>
        <w:rPr>
          <w:rFonts w:hint="eastAsia" w:ascii="仿宋_GB2312" w:hAnsi="宋体" w:eastAsia="仿宋_GB2312"/>
          <w:color w:val="000000"/>
          <w:sz w:val="32"/>
          <w:szCs w:val="32"/>
        </w:rPr>
        <w:t>、</w:t>
      </w:r>
      <w:r>
        <w:rPr>
          <w:rFonts w:hint="eastAsia" w:ascii="仿宋_GB2312" w:hAnsi="宋体" w:eastAsia="仿宋_GB2312"/>
          <w:color w:val="000000"/>
          <w:spacing w:val="-6"/>
          <w:sz w:val="32"/>
          <w:szCs w:val="32"/>
        </w:rPr>
        <w:t>是否存在到期户外广告设施、宣传栏等未按时拆除的行为；</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5</w:t>
      </w:r>
      <w:r>
        <w:rPr>
          <w:rFonts w:hint="eastAsia" w:ascii="仿宋_GB2312" w:hAnsi="宋体" w:eastAsia="仿宋_GB2312"/>
          <w:color w:val="000000"/>
          <w:sz w:val="32"/>
          <w:szCs w:val="32"/>
        </w:rPr>
        <w:t>、是否存在户外广告破损未及时修复的行为；</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6</w:t>
      </w:r>
      <w:r>
        <w:rPr>
          <w:rFonts w:hint="eastAsia" w:ascii="仿宋_GB2312" w:hAnsi="宋体" w:eastAsia="仿宋_GB2312"/>
          <w:color w:val="000000"/>
          <w:sz w:val="32"/>
          <w:szCs w:val="32"/>
        </w:rPr>
        <w:t>、是否存在在市区悬挂经营性横幅、直幅、条幅、过街横幅广告的行为；</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7</w:t>
      </w:r>
      <w:r>
        <w:rPr>
          <w:rFonts w:hint="eastAsia" w:ascii="仿宋_GB2312" w:hAnsi="宋体" w:eastAsia="仿宋_GB2312"/>
          <w:color w:val="000000"/>
          <w:sz w:val="32"/>
          <w:szCs w:val="32"/>
        </w:rPr>
        <w:t>、是否执行户外广告技术规范和标准，按照国家有关建设工程质量管理规定和省户外广告设施技术规范要求需进行检验合格的；</w:t>
      </w:r>
    </w:p>
    <w:p>
      <w:pPr>
        <w:spacing w:line="600" w:lineRule="exact"/>
        <w:ind w:firstLine="640" w:firstLineChars="200"/>
        <w:rPr>
          <w:rFonts w:ascii="仿宋_GB2312" w:hAnsi="宋体" w:eastAsia="仿宋_GB2312"/>
          <w:color w:val="000000"/>
          <w:sz w:val="32"/>
          <w:szCs w:val="32"/>
        </w:rPr>
      </w:pPr>
      <w:r>
        <w:rPr>
          <w:rFonts w:ascii="仿宋_GB2312" w:hAnsi="宋体" w:eastAsia="仿宋_GB2312"/>
          <w:color w:val="000000"/>
          <w:sz w:val="32"/>
          <w:szCs w:val="32"/>
        </w:rPr>
        <w:t>8</w:t>
      </w:r>
      <w:r>
        <w:rPr>
          <w:rFonts w:hint="eastAsia" w:ascii="仿宋_GB2312" w:hAnsi="宋体" w:eastAsia="仿宋_GB2312"/>
          <w:color w:val="000000"/>
          <w:sz w:val="32"/>
          <w:szCs w:val="32"/>
        </w:rPr>
        <w:t>、其他法律、法规、规章规定的监督检查事项。</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三、监督检查方式</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（一）属地监督管理：由各辖区中队对所辖区域内户外广告设施及临时性广告进行日常巡查；</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（二）开展执法检查：每年组织开展户外广告设施专项整治。</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四、监督检查程序</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（一）局市容股将专项检查及抽查情况通报给各相关执法中队；</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（二）局指定两名以上执法人员参加监督检查，相关中队指定两名以上执法人员协助开展监督检查；</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（三）监督检查人员向被检查人出示有效行政执法证件，说明来意，告知其享有的合法权利和应当履行的法定义务；</w:t>
      </w:r>
      <w:r>
        <w:rPr>
          <w:rFonts w:ascii="仿宋_GB2312" w:hAnsi="宋体" w:eastAsia="仿宋_GB2312"/>
          <w:color w:val="000000"/>
          <w:sz w:val="32"/>
          <w:szCs w:val="32"/>
        </w:rPr>
        <w:t xml:space="preserve"> </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四）监督检查人员对被检查人履行户外广告设施管理义务的情况实施检查，对存在问题广告设施制作现场检查（勘验）笔录，交当事人确认签字；被检查单位的有关负责人拒绝签字的，执法人员应当将情况记录在案。</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（五）发现被检查人存在违反户外广告管理法律法规的行为，制作《责令限期（立即）改正违法行为通知书》。</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五、监督检查措施及处理</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（一）发现被检查户外广告设施存在违法情形的，对当事人除责令限期改正外，应当依法采取补救措施；</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（二）对监督检查发现不符合规定的户外广告设施，监督其实施整改直至符合设置规范；</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（三）对检查发现存在安全隐患的户外广告设施应要求业主单位和个人进行整改。</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（四）发现超过批准期限的户外广告应要求及时拆除或补办续批手续；</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（五）对违反户外广告管理法规的行为依法立案查处，依法予以罚款、拆除等进行依法处罚。</w:t>
      </w:r>
    </w:p>
    <w:p>
      <w:pPr>
        <w:spacing w:line="600" w:lineRule="exact"/>
        <w:rPr>
          <w:rFonts w:ascii="仿宋_GB2312" w:eastAsia="仿宋_GB2312"/>
          <w:b/>
          <w:color w:val="000000"/>
          <w:sz w:val="32"/>
          <w:szCs w:val="32"/>
        </w:rPr>
      </w:pPr>
    </w:p>
    <w:p>
      <w:pPr>
        <w:spacing w:line="600" w:lineRule="exact"/>
        <w:rPr>
          <w:rFonts w:ascii="仿宋_GB2312" w:eastAsia="仿宋_GB2312"/>
          <w:b/>
          <w:color w:val="000000"/>
          <w:sz w:val="32"/>
          <w:szCs w:val="32"/>
        </w:rPr>
      </w:pPr>
    </w:p>
    <w:p>
      <w:pPr>
        <w:spacing w:line="600" w:lineRule="exact"/>
        <w:rPr>
          <w:rFonts w:ascii="仿宋_GB2312" w:eastAsia="仿宋_GB2312"/>
          <w:b/>
          <w:color w:val="000000"/>
          <w:sz w:val="32"/>
          <w:szCs w:val="32"/>
        </w:rPr>
      </w:pPr>
    </w:p>
    <w:p>
      <w:pPr>
        <w:spacing w:line="600" w:lineRule="exact"/>
        <w:rPr>
          <w:rFonts w:ascii="仿宋_GB2312" w:eastAsia="仿宋_GB2312"/>
          <w:b/>
          <w:color w:val="000000"/>
          <w:sz w:val="32"/>
          <w:szCs w:val="32"/>
        </w:rPr>
      </w:pPr>
    </w:p>
    <w:p>
      <w:pPr>
        <w:spacing w:line="600" w:lineRule="exact"/>
        <w:rPr>
          <w:rFonts w:ascii="仿宋_GB2312" w:eastAsia="仿宋_GB2312"/>
          <w:b/>
          <w:color w:val="000000"/>
          <w:sz w:val="32"/>
          <w:szCs w:val="32"/>
        </w:rPr>
      </w:pPr>
    </w:p>
    <w:p>
      <w:pPr>
        <w:pStyle w:val="11"/>
        <w:widowControl w:val="0"/>
        <w:spacing w:before="0" w:after="0" w:line="600" w:lineRule="exact"/>
        <w:jc w:val="center"/>
        <w:rPr>
          <w:rFonts w:ascii="仿宋_GB2312" w:eastAsia="仿宋_GB2312"/>
          <w:b/>
          <w:color w:val="000000"/>
          <w:sz w:val="32"/>
          <w:szCs w:val="32"/>
        </w:rPr>
      </w:pPr>
      <w:r>
        <w:rPr>
          <w:rFonts w:ascii="仿宋_GB2312" w:eastAsia="仿宋_GB2312"/>
          <w:b/>
          <w:color w:val="000000"/>
          <w:sz w:val="32"/>
          <w:szCs w:val="32"/>
        </w:rPr>
        <w:br w:type="page"/>
      </w:r>
      <w:r>
        <w:rPr>
          <w:rFonts w:hint="eastAsia" w:ascii="仿宋_GB2312" w:eastAsia="仿宋_GB2312"/>
          <w:b/>
          <w:color w:val="000000"/>
          <w:sz w:val="32"/>
          <w:szCs w:val="32"/>
        </w:rPr>
        <w:t>（二）行政执法程序暂行规定</w:t>
      </w:r>
    </w:p>
    <w:p>
      <w:pPr>
        <w:spacing w:line="600" w:lineRule="exact"/>
        <w:jc w:val="center"/>
        <w:rPr>
          <w:rFonts w:ascii="仿宋_GB2312" w:hAnsi="宋体" w:eastAsia="仿宋_GB2312"/>
          <w:color w:val="000000"/>
          <w:sz w:val="32"/>
          <w:szCs w:val="32"/>
        </w:rPr>
      </w:pPr>
      <w:r>
        <w:rPr>
          <w:rFonts w:hint="eastAsia" w:ascii="仿宋_GB2312" w:hAnsi="宋体" w:eastAsia="仿宋_GB2312"/>
          <w:color w:val="000000"/>
          <w:sz w:val="32"/>
          <w:szCs w:val="32"/>
        </w:rPr>
        <w:t>单位名称：大祥区城市管理行政执法局</w:t>
      </w:r>
    </w:p>
    <w:p>
      <w:pPr>
        <w:spacing w:line="600" w:lineRule="exact"/>
        <w:jc w:val="center"/>
        <w:rPr>
          <w:rFonts w:ascii="仿宋_GB2312" w:hAnsi="宋体" w:eastAsia="仿宋_GB2312"/>
          <w:color w:val="000000"/>
          <w:sz w:val="32"/>
          <w:szCs w:val="32"/>
        </w:rPr>
      </w:pPr>
    </w:p>
    <w:p>
      <w:pPr>
        <w:pStyle w:val="11"/>
        <w:widowControl w:val="0"/>
        <w:spacing w:before="0" w:after="0" w:line="60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第一章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总</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则</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为规范大祥区城市管理行政执法行为，促进依法行政，保护公民、法人和其他组织的合法权益，根据《中华人民共和国行政处罚法》（以下简称《行政处罚法》）、《中华人民共和国行政强制法》（以下简称《行政强制法》）、《邵阳市开展城市管理相对集中行政处罚权工作实施方案》（下简称《实施方案》）及相关法律、法规、规章的规定，结合大祥区城市管理执法实际，制定本规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大祥区城市管理行政执法局（以下简称区执法局）、各下属执法中队及其行政执法人员应当按照本规定实施行政处罚和采取行政强制。</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区城管执法局是区人民政府在城市管理方面集中行使行政处罚权的工作机构，依法以自己的名义在本行政区域内行使湖南省人民政府批复规定的处罚权，并根据湖南省人民政府批准，行使行政强制措施权。执法局下属执法中队及派驻街道办事处、管委会的城市管理行政执法机构以市执法局的名义行使行政处罚权和采取行政强制措施。</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区城管执法局作出行政处罚决定或者采取行政强制，必须以事实为依据，以法律为准绳，遵循规范、文明、及时的行政执法原则。</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第五条区城管执法局实施行政处罚和采取行政强制的工作人员（以下简称执法人员）必须持有湖南省人民政府或邵阳市人民政府制发的行政执法证件，并使用统一的行政执法文书。</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实行行政执法责任制</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区城管执法局实施行政处罚和采取行政强制依法接受上级业务主管部门及本级政府法制部门的监督指导。</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60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第二章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管</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辖</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违反城市管理法律、法规和规章的行为由行为发生地的区执法局管辖。</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区城管执法局发现违法行为不属于自己职能范围的，应当将案件及时移送有管辖权的行政机关处理。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两个以上的局属执法中队都有管辖权的，由最先立案的中队管辖。中队管辖权发生争议的，报请区城管执法局指定管辖。</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60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第三章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行政处罚程序</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第一节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执法检查</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执法人员进行执法检查时，应当有两人以上一同进行，并向当事人出示证件，示明身份，告知检查项目。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执法检查时，应做到语言文明，行为规范，并维护公民、法人或其他组织正常的生产、生活和工作秩序。</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执法检查时发现依法应当给予行政处罚的违法行为，必须进行调查取证，制作现场勘验、检查笔录，并交由当事人或有关人员签名。当事人拒绝签名的，由两名以上执法人员在笔录上注明情况并签名。</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立</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有下列情形之一的，属于区执法局职能范围的，应当立案：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（一）执法检查中发现公民、法人或其他组织有违法行为，依法应当给予行政处罚的；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（二）公民、法人或其他组织检举、投诉，依法应当给予行政处罚的；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（三）有关行政机关书面提请处理，依法应当给予行政处罚的。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违法行为轻微并及时改正，没有造成危害，依法不予行政处罚的，不予立案。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属于立案范围的，执法人员应当在发现违法行为的</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日内填写立案审批表，附现场检查笔录、现场图像资料等能够证明违法行为发生的证据材料，报案件承办单位负责人批准。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对报批立案的案件，承办单位负责人应在收到立案审批表的</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日内决定是否立案。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对案情较为复杂的案件，承办单位可提请区执法局法制股审核，法制股应于</w:t>
      </w:r>
      <w:r>
        <w:rPr>
          <w:rFonts w:ascii="仿宋_GB2312" w:eastAsia="仿宋_GB2312" w:cs="Times New Roman"/>
          <w:color w:val="000000"/>
          <w:kern w:val="2"/>
          <w:sz w:val="32"/>
          <w:szCs w:val="32"/>
        </w:rPr>
        <w:t>3</w:t>
      </w:r>
      <w:r>
        <w:rPr>
          <w:rFonts w:hint="eastAsia" w:ascii="仿宋_GB2312" w:eastAsia="仿宋_GB2312" w:cs="Times New Roman"/>
          <w:color w:val="000000"/>
          <w:kern w:val="2"/>
          <w:sz w:val="32"/>
          <w:szCs w:val="32"/>
        </w:rPr>
        <w:t>日内进行审查，决定是否立案。决定不予立案的，局法制股应自决定之日起</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日内，书面告知有关行政机关。</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调查取证</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立案后，案件需作进一步调查的，执法人员应客观公正地调查、收集与案件事实有关的证据。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收集的证据包括：书证、物证、证人证言、视听资料、当事人陈述、鉴定结论、勘查笔录、现场笔录（强制执行时使用）等。</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执法人员调查取证，应当有两人以上一同进行，出示执法证件，说明调查事项。</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第十九条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调查取证时，应当制作有关笔录，并做好现场拍摄或录音、录像工作；必要时，应当绘制现场图。笔录应交当事人或有关人员核阅无误后签名或盖章。当事人拒绝签名或盖章的，由两名以上执法人员在笔录上注明情况并签名。</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执法人员应当收集、调取与案件有关的原始凭证作为书证。调取原始凭证有困难的，可以复制，但复制件应当标明</w:t>
      </w:r>
      <w:r>
        <w:rPr>
          <w:rFonts w:ascii="仿宋_GB2312" w:eastAsia="仿宋_GB2312" w:cs="Times New Roman"/>
          <w:color w:val="000000"/>
          <w:kern w:val="2"/>
          <w:sz w:val="32"/>
          <w:szCs w:val="32"/>
        </w:rPr>
        <w:t>"</w:t>
      </w:r>
      <w:r>
        <w:rPr>
          <w:rFonts w:hint="eastAsia" w:ascii="仿宋_GB2312" w:eastAsia="仿宋_GB2312" w:cs="Times New Roman"/>
          <w:color w:val="000000"/>
          <w:kern w:val="2"/>
          <w:sz w:val="32"/>
          <w:szCs w:val="32"/>
        </w:rPr>
        <w:t>经核对与原件无误</w:t>
      </w:r>
      <w:r>
        <w:rPr>
          <w:rFonts w:ascii="仿宋_GB2312" w:eastAsia="仿宋_GB2312" w:cs="Times New Roman"/>
          <w:color w:val="000000"/>
          <w:kern w:val="2"/>
          <w:sz w:val="32"/>
          <w:szCs w:val="32"/>
        </w:rPr>
        <w:t>"</w:t>
      </w:r>
      <w:r>
        <w:rPr>
          <w:rFonts w:hint="eastAsia" w:ascii="仿宋_GB2312" w:eastAsia="仿宋_GB2312" w:cs="Times New Roman"/>
          <w:color w:val="000000"/>
          <w:kern w:val="2"/>
          <w:sz w:val="32"/>
          <w:szCs w:val="32"/>
        </w:rPr>
        <w:t>，并由出具书证人签名或盖章。</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对有违法嫌疑的场所和物品进行检查时，应有当事人在场。当事人拒绝到场的，应当邀请两名与案件无利害关系的公民见证并在勘验检查笔录中注明。</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执法人员收集证据，可以采取抽样取证的方法。在证据可能灭失或者以后难以取得的情况下，经区执法局负责人批准，可以对证据依法先行登记保存。</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先行登记保存的物品必须当场清点，开具先行登记保存物品清单一式三联，由执法人员和当事人双方核实无误后签名或盖章，其中一联交当事人收执。当场清点确有困难的，可以在适当的场所清点，并告知当事人及时到场校对并签章确认。</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区城管执法局应当在</w:t>
      </w:r>
      <w:r>
        <w:rPr>
          <w:rFonts w:ascii="仿宋_GB2312" w:eastAsia="仿宋_GB2312" w:cs="Times New Roman"/>
          <w:color w:val="000000"/>
          <w:kern w:val="2"/>
          <w:sz w:val="32"/>
          <w:szCs w:val="32"/>
        </w:rPr>
        <w:t>7</w:t>
      </w:r>
      <w:r>
        <w:rPr>
          <w:rFonts w:hint="eastAsia" w:ascii="仿宋_GB2312" w:eastAsia="仿宋_GB2312" w:cs="Times New Roman"/>
          <w:color w:val="000000"/>
          <w:kern w:val="2"/>
          <w:sz w:val="32"/>
          <w:szCs w:val="32"/>
        </w:rPr>
        <w:t>日之内对先行登记保存的物品作出处理决定。期限内未做出处理决定的，应当解除保存，并将先行登记保存的物品退还当事人。</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办理一般程序行政处罚案件的期限，自立案之日起不得超过</w:t>
      </w:r>
      <w:r>
        <w:rPr>
          <w:rFonts w:ascii="仿宋_GB2312" w:eastAsia="仿宋_GB2312" w:cs="Times New Roman"/>
          <w:color w:val="000000"/>
          <w:kern w:val="2"/>
          <w:sz w:val="32"/>
          <w:szCs w:val="32"/>
        </w:rPr>
        <w:t>30</w:t>
      </w:r>
      <w:r>
        <w:rPr>
          <w:rFonts w:hint="eastAsia" w:ascii="仿宋_GB2312" w:eastAsia="仿宋_GB2312" w:cs="Times New Roman"/>
          <w:color w:val="000000"/>
          <w:kern w:val="2"/>
          <w:sz w:val="32"/>
          <w:szCs w:val="32"/>
        </w:rPr>
        <w:t>日。重大、复杂的案件，经市执法局负责人批准，可以适当延长，但最长不得超过</w:t>
      </w:r>
      <w:r>
        <w:rPr>
          <w:rFonts w:ascii="仿宋_GB2312" w:eastAsia="仿宋_GB2312" w:cs="Times New Roman"/>
          <w:color w:val="000000"/>
          <w:kern w:val="2"/>
          <w:sz w:val="32"/>
          <w:szCs w:val="32"/>
        </w:rPr>
        <w:t>60</w:t>
      </w:r>
      <w:r>
        <w:rPr>
          <w:rFonts w:hint="eastAsia" w:ascii="仿宋_GB2312" w:eastAsia="仿宋_GB2312" w:cs="Times New Roman"/>
          <w:color w:val="000000"/>
          <w:kern w:val="2"/>
          <w:sz w:val="32"/>
          <w:szCs w:val="32"/>
        </w:rPr>
        <w:t>日。为查明案情进行鉴定的期间，不计入办案期限。</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调查终结后，执法人员应写《案件调查终结报告》并在</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日内提交案件审理部门审理。区城管执法局法制股负责对行政处罚案件的具体审理工作。</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案件审理部门接到核审材料后，应当进行登记，并指定具体人员就以下内容进行审核：</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（一）本机关对案件是否有管辖权；</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（二）案件事实是否清楚，证据是否充分；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（三）定性是否准确；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（四）适用法律、法规、规章是否正确；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（五）程序是否合法；</w:t>
      </w:r>
      <w:r>
        <w:rPr>
          <w:rFonts w:ascii="仿宋_GB2312" w:eastAsia="仿宋_GB2312" w:cs="Times New Roman"/>
          <w:color w:val="000000"/>
          <w:kern w:val="2"/>
          <w:sz w:val="32"/>
          <w:szCs w:val="32"/>
        </w:rPr>
        <w:t xml:space="preserve"> </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（六）处罚是否适当。</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案件审理部门应在</w:t>
      </w:r>
      <w:r>
        <w:rPr>
          <w:rFonts w:ascii="仿宋_GB2312" w:eastAsia="仿宋_GB2312" w:cs="Times New Roman"/>
          <w:color w:val="000000"/>
          <w:kern w:val="2"/>
          <w:sz w:val="32"/>
          <w:szCs w:val="32"/>
        </w:rPr>
        <w:t>5</w:t>
      </w:r>
      <w:r>
        <w:rPr>
          <w:rFonts w:hint="eastAsia" w:ascii="仿宋_GB2312" w:eastAsia="仿宋_GB2312" w:cs="Times New Roman"/>
          <w:color w:val="000000"/>
          <w:kern w:val="2"/>
          <w:sz w:val="32"/>
          <w:szCs w:val="32"/>
        </w:rPr>
        <w:t>日内完成审核工作，并根据不同情况，提出审核意见：</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（一）事实清楚，证据确凿充分，定性准确，适用法律、法规、规章正确，程序合法，处罚适当的，作出拟处罚意见；</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（二）事实不清、证据不足的，提出补充调查的意见；</w:t>
      </w:r>
      <w:r>
        <w:rPr>
          <w:rFonts w:ascii="仿宋_GB2312" w:eastAsia="仿宋_GB2312" w:cs="Times New Roman"/>
          <w:color w:val="000000"/>
          <w:kern w:val="2"/>
          <w:sz w:val="32"/>
          <w:szCs w:val="32"/>
        </w:rPr>
        <w:t xml:space="preserve"> </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（三）适用法律、法规、规章不正确或程序不合法的，提出重新办理的意见；</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（四）不属于本机关管辖的案件，按有关规定移送有关机关或组织。</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处罚决定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适用一般程序的行政处罚案件，局属各中队负责人签署意见，经法制股审核，报区城管执法局负责人决定。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对情节简单或给予较轻的行政处罚，区执法局负责人可以授权局属各中队负责人审批，各中队应对授权审批的案件</w:t>
      </w:r>
      <w:r>
        <w:rPr>
          <w:rFonts w:ascii="仿宋_GB2312" w:eastAsia="仿宋_GB2312" w:cs="Times New Roman"/>
          <w:color w:val="000000"/>
          <w:kern w:val="2"/>
          <w:sz w:val="32"/>
          <w:szCs w:val="32"/>
        </w:rPr>
        <w:t>3</w:t>
      </w:r>
      <w:r>
        <w:rPr>
          <w:rFonts w:hint="eastAsia" w:ascii="仿宋_GB2312" w:eastAsia="仿宋_GB2312" w:cs="Times New Roman"/>
          <w:color w:val="000000"/>
          <w:kern w:val="2"/>
          <w:sz w:val="32"/>
          <w:szCs w:val="32"/>
        </w:rPr>
        <w:t>日内报法制股备案。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情节复杂或者重大违法行为给予较重的行政处罚，由区城管执法局负责人集体讨论决定。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拟决定给予行政处罚的，由案件承办单位制作行政处罚告知书，送达当事人，告知当事人作出行政处罚的事实、理由及依据和依法享有陈述和申辩、听证的权利。</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第二十九条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对当事人在行政处罚告知后提出的新的事实、理由和证据，应当进行复核，成立的应当采纳。</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当事人对行政处罚告知书没有异议或者所提的异议不成立的，案件承办单位应当制作行政处罚决定审批表，经区执法局法制股审核后报市执法局负责人审批。</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行政处罚决定审批表经区执法局负责人批准后，由区执法局法制股制作行政处罚决定书。</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行政处罚决定书应当载明下列事项：</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（一）当事人的姓名或名称（其中，是个人的还应写明性别、民族、年龄；是单位的还应写明法定代表人及其职务。）及住所；</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（二）违反法律、法规或规章的事实和证据；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（三）行政处罚的种类和依据；</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（四）行政处罚的履行方式和期限；</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（五）不服行政处罚决定，申请行政复议或者提起行政诉讼的途径和期限；</w:t>
      </w:r>
    </w:p>
    <w:p>
      <w:pPr>
        <w:pStyle w:val="11"/>
        <w:widowControl w:val="0"/>
        <w:spacing w:before="0" w:after="0" w:line="600" w:lineRule="exact"/>
        <w:ind w:firstLine="640" w:firstLineChars="200"/>
        <w:jc w:val="both"/>
        <w:rPr>
          <w:rFonts w:ascii="仿宋_GB2312" w:eastAsia="仿宋_GB2312" w:cs="Times New Roman"/>
          <w:color w:val="000000"/>
          <w:spacing w:val="-6"/>
          <w:kern w:val="2"/>
          <w:sz w:val="32"/>
          <w:szCs w:val="32"/>
        </w:rPr>
      </w:pPr>
      <w:r>
        <w:rPr>
          <w:rFonts w:hint="eastAsia" w:ascii="仿宋_GB2312" w:eastAsia="仿宋_GB2312" w:cs="Times New Roman"/>
          <w:color w:val="000000"/>
          <w:kern w:val="2"/>
          <w:sz w:val="32"/>
          <w:szCs w:val="32"/>
        </w:rPr>
        <w:t>（六）</w:t>
      </w:r>
      <w:r>
        <w:rPr>
          <w:rFonts w:hint="eastAsia" w:ascii="仿宋_GB2312" w:eastAsia="仿宋_GB2312" w:cs="Times New Roman"/>
          <w:color w:val="000000"/>
          <w:spacing w:val="-6"/>
          <w:kern w:val="2"/>
          <w:sz w:val="32"/>
          <w:szCs w:val="32"/>
        </w:rPr>
        <w:t>作出行政处罚决定的行政机关名称和作出决定的日期。</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经审理认为违法行为轻微，没有造成危害后果的，依法不应当处罚的，由审理部门作出不予处罚的决定，报区城管执法局负责人审批。不予处罚的决定应当载明当事人的基本情况、案件的基本事实、不予行政处罚的理由和依据等。</w:t>
      </w:r>
      <w:r>
        <w:rPr>
          <w:rFonts w:ascii="仿宋_GB2312" w:eastAsia="仿宋_GB2312" w:cs="Times New Roman"/>
          <w:color w:val="000000"/>
          <w:kern w:val="2"/>
          <w:sz w:val="32"/>
          <w:szCs w:val="32"/>
        </w:rPr>
        <w:t xml:space="preserve"> </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行政处罚决定书等法律文书，由案件承办单位负责送达、执行，区城管执法局法制股负责监督。</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行政处罚决定一经作出，任何人不得擅自变更或撤销。处罚决定确有错误需要变更或撤销的，应按原审批程序和权限作出决定。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依法应当移送司法机关追究刑事责任的，由案件审理部门制作案件移送意见书，连同有关案卷材料及证据报区城管执法局负责人集体讨论决定后，移送有管辖权的司法机关处理。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简易程序</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对公民处以</w:t>
      </w:r>
      <w:r>
        <w:rPr>
          <w:rFonts w:ascii="仿宋_GB2312" w:eastAsia="仿宋_GB2312" w:cs="Times New Roman"/>
          <w:color w:val="000000"/>
          <w:kern w:val="2"/>
          <w:sz w:val="32"/>
          <w:szCs w:val="32"/>
        </w:rPr>
        <w:t>50</w:t>
      </w:r>
      <w:r>
        <w:rPr>
          <w:rFonts w:hint="eastAsia" w:ascii="仿宋_GB2312" w:eastAsia="仿宋_GB2312" w:cs="Times New Roman"/>
          <w:color w:val="000000"/>
          <w:kern w:val="2"/>
          <w:sz w:val="32"/>
          <w:szCs w:val="32"/>
        </w:rPr>
        <w:t>元以下、对法人或者其他组织处以</w:t>
      </w:r>
      <w:r>
        <w:rPr>
          <w:rFonts w:ascii="仿宋_GB2312" w:eastAsia="仿宋_GB2312" w:cs="Times New Roman"/>
          <w:color w:val="000000"/>
          <w:kern w:val="2"/>
          <w:sz w:val="32"/>
          <w:szCs w:val="32"/>
        </w:rPr>
        <w:t>1000</w:t>
      </w:r>
      <w:r>
        <w:rPr>
          <w:rFonts w:hint="eastAsia" w:ascii="仿宋_GB2312" w:eastAsia="仿宋_GB2312" w:cs="Times New Roman"/>
          <w:color w:val="000000"/>
          <w:kern w:val="2"/>
          <w:sz w:val="32"/>
          <w:szCs w:val="32"/>
        </w:rPr>
        <w:t>元以下罚款或者警告的行政处罚的，可由执法人员依法当场作出处罚决定。</w:t>
      </w:r>
      <w:r>
        <w:rPr>
          <w:rFonts w:ascii="仿宋_GB2312" w:eastAsia="仿宋_GB2312" w:cs="Times New Roman"/>
          <w:color w:val="000000"/>
          <w:kern w:val="2"/>
          <w:sz w:val="32"/>
          <w:szCs w:val="32"/>
        </w:rPr>
        <w:t xml:space="preserve"> </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当场作出行政处罚决定的，执法人员应当向当事人出示执法证件，依法向当事人告知处罚事由、处罚依据、决定内容和相关权利，听取当事人的陈述和申辩，填写预定格式、编有号码的行政处罚决定书并当场送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当场处罚完成后，执法人员应当填写登记表，连同行政处罚决定书存根一并于在当月月底</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日内报所属区局备案。</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第七节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听证程序</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拟作出责令停业整顿、吊销许可证或执照、较大数额罚款等行政处罚决定，执法人员应当书面告知当事人有要求举行听证的权利。</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前款所称较大数额罚款应根据湖南省人民政府有关行政主管部门报经省人民政府法制办公室审核确定并公布的数额标准：</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（一）市容环境卫生管理：对非经营性或个人违法行为处以</w:t>
      </w:r>
      <w:r>
        <w:rPr>
          <w:rFonts w:ascii="仿宋_GB2312" w:eastAsia="仿宋_GB2312" w:cs="Times New Roman"/>
          <w:color w:val="000000"/>
          <w:kern w:val="2"/>
          <w:sz w:val="32"/>
          <w:szCs w:val="32"/>
        </w:rPr>
        <w:t>5000</w:t>
      </w:r>
      <w:r>
        <w:rPr>
          <w:rFonts w:hint="eastAsia" w:ascii="仿宋_GB2312" w:eastAsia="仿宋_GB2312" w:cs="Times New Roman"/>
          <w:color w:val="000000"/>
          <w:kern w:val="2"/>
          <w:sz w:val="32"/>
          <w:szCs w:val="32"/>
        </w:rPr>
        <w:t>元、经营性或组织违法行为处以</w:t>
      </w:r>
      <w:r>
        <w:rPr>
          <w:rFonts w:ascii="仿宋_GB2312" w:eastAsia="仿宋_GB2312" w:cs="Times New Roman"/>
          <w:color w:val="000000"/>
          <w:kern w:val="2"/>
          <w:sz w:val="32"/>
          <w:szCs w:val="32"/>
        </w:rPr>
        <w:t>50000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（二）城市园林绿化管理：对非经营性或个人违法行为处以</w:t>
      </w:r>
      <w:r>
        <w:rPr>
          <w:rFonts w:ascii="仿宋_GB2312" w:eastAsia="仿宋_GB2312" w:cs="Times New Roman"/>
          <w:color w:val="000000"/>
          <w:kern w:val="2"/>
          <w:sz w:val="32"/>
          <w:szCs w:val="32"/>
        </w:rPr>
        <w:t>5000</w:t>
      </w:r>
      <w:r>
        <w:rPr>
          <w:rFonts w:hint="eastAsia" w:ascii="仿宋_GB2312" w:eastAsia="仿宋_GB2312" w:cs="Times New Roman"/>
          <w:color w:val="000000"/>
          <w:kern w:val="2"/>
          <w:sz w:val="32"/>
          <w:szCs w:val="32"/>
        </w:rPr>
        <w:t>元、经营性或组织违法行为处以</w:t>
      </w:r>
      <w:r>
        <w:rPr>
          <w:rFonts w:ascii="仿宋_GB2312" w:eastAsia="仿宋_GB2312" w:cs="Times New Roman"/>
          <w:color w:val="000000"/>
          <w:kern w:val="2"/>
          <w:sz w:val="32"/>
          <w:szCs w:val="32"/>
        </w:rPr>
        <w:t>50000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（三）市政公用管理：对非经营性或个人违法行为处以</w:t>
      </w:r>
      <w:r>
        <w:rPr>
          <w:rFonts w:ascii="仿宋_GB2312" w:eastAsia="仿宋_GB2312" w:cs="Times New Roman"/>
          <w:color w:val="000000"/>
          <w:kern w:val="2"/>
          <w:sz w:val="32"/>
          <w:szCs w:val="32"/>
        </w:rPr>
        <w:t>5000</w:t>
      </w:r>
      <w:r>
        <w:rPr>
          <w:rFonts w:hint="eastAsia" w:ascii="仿宋_GB2312" w:eastAsia="仿宋_GB2312" w:cs="Times New Roman"/>
          <w:color w:val="000000"/>
          <w:kern w:val="2"/>
          <w:sz w:val="32"/>
          <w:szCs w:val="32"/>
        </w:rPr>
        <w:t>元、经营性或组织违法行为处以</w:t>
      </w:r>
      <w:r>
        <w:rPr>
          <w:rFonts w:ascii="仿宋_GB2312" w:eastAsia="仿宋_GB2312" w:cs="Times New Roman"/>
          <w:color w:val="000000"/>
          <w:kern w:val="2"/>
          <w:sz w:val="32"/>
          <w:szCs w:val="32"/>
        </w:rPr>
        <w:t>50000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（四）环境保护管理：对非经营性或个人违法行为处以</w:t>
      </w:r>
      <w:r>
        <w:rPr>
          <w:rFonts w:ascii="仿宋_GB2312" w:eastAsia="仿宋_GB2312" w:cs="Times New Roman"/>
          <w:color w:val="000000"/>
          <w:kern w:val="2"/>
          <w:sz w:val="32"/>
          <w:szCs w:val="32"/>
        </w:rPr>
        <w:t>5000</w:t>
      </w:r>
      <w:r>
        <w:rPr>
          <w:rFonts w:hint="eastAsia" w:ascii="仿宋_GB2312" w:eastAsia="仿宋_GB2312" w:cs="Times New Roman"/>
          <w:color w:val="000000"/>
          <w:kern w:val="2"/>
          <w:sz w:val="32"/>
          <w:szCs w:val="32"/>
        </w:rPr>
        <w:t>元、经营性或组织违法行为处以</w:t>
      </w:r>
      <w:r>
        <w:rPr>
          <w:rFonts w:ascii="仿宋_GB2312" w:eastAsia="仿宋_GB2312" w:cs="Times New Roman"/>
          <w:color w:val="000000"/>
          <w:kern w:val="2"/>
          <w:sz w:val="32"/>
          <w:szCs w:val="32"/>
        </w:rPr>
        <w:t>50000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（五）工商行政管理：对个人处以</w:t>
      </w:r>
      <w:r>
        <w:rPr>
          <w:rFonts w:ascii="仿宋_GB2312" w:eastAsia="仿宋_GB2312" w:cs="Times New Roman"/>
          <w:color w:val="000000"/>
          <w:kern w:val="2"/>
          <w:sz w:val="32"/>
          <w:szCs w:val="32"/>
        </w:rPr>
        <w:t>3000</w:t>
      </w:r>
      <w:r>
        <w:rPr>
          <w:rFonts w:hint="eastAsia" w:ascii="仿宋_GB2312" w:eastAsia="仿宋_GB2312" w:cs="Times New Roman"/>
          <w:color w:val="000000"/>
          <w:kern w:val="2"/>
          <w:sz w:val="32"/>
          <w:szCs w:val="32"/>
        </w:rPr>
        <w:t>元以上罚款（或者没收违法所得和非法财物价值在</w:t>
      </w:r>
      <w:r>
        <w:rPr>
          <w:rFonts w:ascii="仿宋_GB2312" w:eastAsia="仿宋_GB2312" w:cs="Times New Roman"/>
          <w:color w:val="000000"/>
          <w:kern w:val="2"/>
          <w:sz w:val="32"/>
          <w:szCs w:val="32"/>
        </w:rPr>
        <w:t>3000</w:t>
      </w:r>
      <w:r>
        <w:rPr>
          <w:rFonts w:hint="eastAsia" w:ascii="仿宋_GB2312" w:eastAsia="仿宋_GB2312" w:cs="Times New Roman"/>
          <w:color w:val="000000"/>
          <w:kern w:val="2"/>
          <w:sz w:val="32"/>
          <w:szCs w:val="32"/>
        </w:rPr>
        <w:t>元以上）、对法人或者其他组织处以</w:t>
      </w:r>
      <w:r>
        <w:rPr>
          <w:rFonts w:ascii="仿宋_GB2312" w:eastAsia="仿宋_GB2312" w:cs="Times New Roman"/>
          <w:color w:val="000000"/>
          <w:kern w:val="2"/>
          <w:sz w:val="32"/>
          <w:szCs w:val="32"/>
        </w:rPr>
        <w:t>30000</w:t>
      </w:r>
      <w:r>
        <w:rPr>
          <w:rFonts w:hint="eastAsia" w:ascii="仿宋_GB2312" w:eastAsia="仿宋_GB2312" w:cs="Times New Roman"/>
          <w:color w:val="000000"/>
          <w:kern w:val="2"/>
          <w:sz w:val="32"/>
          <w:szCs w:val="32"/>
        </w:rPr>
        <w:t>元以上罚款（或者没收违法所得和非法财物价值在</w:t>
      </w:r>
      <w:r>
        <w:rPr>
          <w:rFonts w:ascii="仿宋_GB2312" w:eastAsia="仿宋_GB2312" w:cs="Times New Roman"/>
          <w:color w:val="000000"/>
          <w:kern w:val="2"/>
          <w:sz w:val="32"/>
          <w:szCs w:val="32"/>
        </w:rPr>
        <w:t>30000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（六）公安交通管理：对个人处以</w:t>
      </w:r>
      <w:r>
        <w:rPr>
          <w:rFonts w:ascii="仿宋_GB2312" w:eastAsia="仿宋_GB2312" w:cs="Times New Roman"/>
          <w:color w:val="000000"/>
          <w:kern w:val="2"/>
          <w:sz w:val="32"/>
          <w:szCs w:val="32"/>
        </w:rPr>
        <w:t>2000</w:t>
      </w:r>
      <w:r>
        <w:rPr>
          <w:rFonts w:hint="eastAsia" w:ascii="仿宋_GB2312" w:eastAsia="仿宋_GB2312" w:cs="Times New Roman"/>
          <w:color w:val="000000"/>
          <w:kern w:val="2"/>
          <w:sz w:val="32"/>
          <w:szCs w:val="32"/>
        </w:rPr>
        <w:t>元以上，对组织处以</w:t>
      </w:r>
      <w:r>
        <w:rPr>
          <w:rFonts w:ascii="仿宋_GB2312" w:eastAsia="仿宋_GB2312" w:cs="Times New Roman"/>
          <w:color w:val="000000"/>
          <w:kern w:val="2"/>
          <w:sz w:val="32"/>
          <w:szCs w:val="32"/>
        </w:rPr>
        <w:t>10000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（七）城市河道管理：对个人处以</w:t>
      </w:r>
      <w:r>
        <w:rPr>
          <w:rFonts w:ascii="仿宋_GB2312" w:eastAsia="仿宋_GB2312" w:cs="Times New Roman"/>
          <w:color w:val="000000"/>
          <w:kern w:val="2"/>
          <w:sz w:val="32"/>
          <w:szCs w:val="32"/>
        </w:rPr>
        <w:t>1000</w:t>
      </w:r>
      <w:r>
        <w:rPr>
          <w:rFonts w:hint="eastAsia" w:ascii="仿宋_GB2312" w:eastAsia="仿宋_GB2312" w:cs="Times New Roman"/>
          <w:color w:val="000000"/>
          <w:kern w:val="2"/>
          <w:sz w:val="32"/>
          <w:szCs w:val="32"/>
        </w:rPr>
        <w:t>元以上，对组织处以</w:t>
      </w:r>
      <w:r>
        <w:rPr>
          <w:rFonts w:ascii="仿宋_GB2312" w:eastAsia="仿宋_GB2312" w:cs="Times New Roman"/>
          <w:color w:val="000000"/>
          <w:kern w:val="2"/>
          <w:sz w:val="32"/>
          <w:szCs w:val="32"/>
        </w:rPr>
        <w:t>80000</w:t>
      </w:r>
      <w:r>
        <w:rPr>
          <w:rFonts w:hint="eastAsia" w:ascii="仿宋_GB2312" w:eastAsia="仿宋_GB2312" w:cs="Times New Roman"/>
          <w:color w:val="000000"/>
          <w:kern w:val="2"/>
          <w:sz w:val="32"/>
          <w:szCs w:val="32"/>
        </w:rPr>
        <w:t>元以上。</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第三十九条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当事人要求听证的，应自收到行政处罚告知书之日起</w:t>
      </w:r>
      <w:r>
        <w:rPr>
          <w:rFonts w:ascii="仿宋_GB2312" w:eastAsia="仿宋_GB2312" w:cs="Times New Roman"/>
          <w:color w:val="000000"/>
          <w:kern w:val="2"/>
          <w:sz w:val="32"/>
          <w:szCs w:val="32"/>
        </w:rPr>
        <w:t>3</w:t>
      </w:r>
      <w:r>
        <w:rPr>
          <w:rFonts w:hint="eastAsia" w:ascii="仿宋_GB2312" w:eastAsia="仿宋_GB2312" w:cs="Times New Roman"/>
          <w:color w:val="000000"/>
          <w:kern w:val="2"/>
          <w:sz w:val="32"/>
          <w:szCs w:val="32"/>
        </w:rPr>
        <w:t>日内向市城管执法局提出书面申请。申请由案件审理部门受理，并出具收件回执。当事人逾期未提出听证要求的，视为放弃对本案要求举行听证的权利。</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决定举行听证的，案件承办单位应当派员参加听证并就案件的违法事实、证据、处罚依据及处罚意见作出说明。</w:t>
      </w:r>
    </w:p>
    <w:p>
      <w:pPr>
        <w:pStyle w:val="11"/>
        <w:widowControl w:val="0"/>
        <w:spacing w:before="0" w:after="0" w:line="600" w:lineRule="exact"/>
        <w:ind w:firstLine="480" w:firstLineChars="15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听证主持人应当在当事人提出申请之日起</w:t>
      </w:r>
      <w:r>
        <w:rPr>
          <w:rFonts w:ascii="仿宋_GB2312" w:eastAsia="仿宋_GB2312" w:cs="Times New Roman"/>
          <w:color w:val="000000"/>
          <w:kern w:val="2"/>
          <w:sz w:val="32"/>
          <w:szCs w:val="32"/>
        </w:rPr>
        <w:t>3</w:t>
      </w:r>
      <w:r>
        <w:rPr>
          <w:rFonts w:hint="eastAsia" w:ascii="仿宋_GB2312" w:eastAsia="仿宋_GB2312" w:cs="Times New Roman"/>
          <w:color w:val="000000"/>
          <w:kern w:val="2"/>
          <w:sz w:val="32"/>
          <w:szCs w:val="32"/>
        </w:rPr>
        <w:t>日内确定举行听证的时间、地点和方式，并在听证举行的</w:t>
      </w:r>
      <w:r>
        <w:rPr>
          <w:rFonts w:ascii="仿宋_GB2312" w:eastAsia="仿宋_GB2312" w:cs="Times New Roman"/>
          <w:color w:val="000000"/>
          <w:kern w:val="2"/>
          <w:sz w:val="32"/>
          <w:szCs w:val="32"/>
        </w:rPr>
        <w:t>7</w:t>
      </w:r>
      <w:r>
        <w:rPr>
          <w:rFonts w:hint="eastAsia" w:ascii="仿宋_GB2312" w:eastAsia="仿宋_GB2312" w:cs="Times New Roman"/>
          <w:color w:val="000000"/>
          <w:kern w:val="2"/>
          <w:sz w:val="32"/>
          <w:szCs w:val="32"/>
        </w:rPr>
        <w:t>日前，将听证通知书送达当事人。</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听证程序按照《湖南省行政处罚听证程序规定》进行。部委规章已作规定的，从其规定。</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听证主持人应当于听证或最后一次听证结束后</w:t>
      </w:r>
      <w:r>
        <w:rPr>
          <w:rFonts w:ascii="仿宋_GB2312" w:eastAsia="仿宋_GB2312" w:cs="Times New Roman"/>
          <w:color w:val="000000"/>
          <w:kern w:val="2"/>
          <w:sz w:val="32"/>
          <w:szCs w:val="32"/>
        </w:rPr>
        <w:t>5</w:t>
      </w:r>
      <w:r>
        <w:rPr>
          <w:rFonts w:hint="eastAsia" w:ascii="仿宋_GB2312" w:eastAsia="仿宋_GB2312" w:cs="Times New Roman"/>
          <w:color w:val="000000"/>
          <w:kern w:val="2"/>
          <w:sz w:val="32"/>
          <w:szCs w:val="32"/>
        </w:rPr>
        <w:t>日内，制作听证员行政处罚建议书。</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第八节</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送</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行政处罚决定书应当在宣告后当场交付当事人；当事人不在场的，行政机关应当在七日内依照民事诉讼法的有关规定，将行政处罚决定书送达当事人。</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行政处罚决定书或有关法律文书直接送达受送达人的，受送达人应在送达回证上签字或盖章，并注明签收日期。</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受送达人不在的，交其同住的成年亲属、工作单位、或其居住地居委会代收，代收人要注明与受送达人的关系。收件人为法人或其他组织的，可以由其文件收发处签收。</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不能直接送达的，按下列规定送达：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受送达人或他的同住成年亲属拒绝签收的，送达人应当邀请有关基层组织或所在单位代表到场，说明情况。在送达回证上注明拒收事由和日期，由送达人、见证人签名或盖章，将法律文书留在受送达人的住所，则视为送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（二）受送达人已向执法机关指定代收人的，由代收人签收；</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（三）邮寄送达的，以挂号回执上注明的收件日期为送达日期；</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（四）受送达人下落不明的，以公告送达，自公告发布之日起</w:t>
      </w:r>
      <w:r>
        <w:rPr>
          <w:rFonts w:ascii="仿宋_GB2312" w:eastAsia="仿宋_GB2312" w:cs="Times New Roman"/>
          <w:color w:val="000000"/>
          <w:kern w:val="2"/>
          <w:sz w:val="32"/>
          <w:szCs w:val="32"/>
        </w:rPr>
        <w:t>60</w:t>
      </w:r>
      <w:r>
        <w:rPr>
          <w:rFonts w:hint="eastAsia" w:ascii="仿宋_GB2312" w:eastAsia="仿宋_GB2312" w:cs="Times New Roman"/>
          <w:color w:val="000000"/>
          <w:kern w:val="2"/>
          <w:sz w:val="32"/>
          <w:szCs w:val="32"/>
        </w:rPr>
        <w:t>日即视为送达。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60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第四章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执</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行</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行政处罚决定一经作出即发生法律效力，当事人应当自觉履行。处以罚款的，当事人应当自收到行政处罚决定书之日起</w:t>
      </w:r>
      <w:r>
        <w:rPr>
          <w:rFonts w:ascii="仿宋_GB2312" w:eastAsia="仿宋_GB2312" w:cs="Times New Roman"/>
          <w:color w:val="000000"/>
          <w:kern w:val="2"/>
          <w:sz w:val="32"/>
          <w:szCs w:val="32"/>
        </w:rPr>
        <w:t>15</w:t>
      </w:r>
      <w:r>
        <w:rPr>
          <w:rFonts w:hint="eastAsia" w:ascii="仿宋_GB2312" w:eastAsia="仿宋_GB2312" w:cs="Times New Roman"/>
          <w:color w:val="000000"/>
          <w:kern w:val="2"/>
          <w:sz w:val="32"/>
          <w:szCs w:val="32"/>
        </w:rPr>
        <w:t>日内，到指定银行缴纳罚款。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当事人确有经济困难，需要延期或者分期缴纳罚款的，由当事人提出申请，经区执法局负责人批准后，可以暂缓或者分期缴纳。</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案件承办单位必须跟踪执行，加强执行情况的监督检查，督促当事人履行处罚决定，保证每宗行政处罚案件及时执行。</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当事人逾期不履行行政处罚决定的，执法局可以采取下列措施：</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（一）到期不缴纳罚款的，每日按罚款数额的</w:t>
      </w:r>
      <w:r>
        <w:rPr>
          <w:rFonts w:ascii="仿宋_GB2312" w:eastAsia="仿宋_GB2312" w:cs="Times New Roman"/>
          <w:color w:val="000000"/>
          <w:kern w:val="2"/>
          <w:sz w:val="32"/>
          <w:szCs w:val="32"/>
        </w:rPr>
        <w:t>3%</w:t>
      </w:r>
      <w:r>
        <w:rPr>
          <w:rFonts w:hint="eastAsia" w:ascii="仿宋_GB2312" w:eastAsia="仿宋_GB2312" w:cs="Times New Roman"/>
          <w:color w:val="000000"/>
          <w:kern w:val="2"/>
          <w:sz w:val="32"/>
          <w:szCs w:val="32"/>
        </w:rPr>
        <w:t>加收处罚款；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（二）当事人不申请行政复议或行政诉讼，又拒不履行行政处罚决定的，负责执行单位应在处罚决定书送达后的三个月期满之日起十日内，将有关材料送交区城管执法局法制股，申请人民法院强制执行。</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作出罚款处罚决定后，有下列情形之一的，执法人员可以当场收缴罚款：</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（一）适用简易程序，依法给予</w:t>
      </w:r>
      <w:r>
        <w:rPr>
          <w:rFonts w:ascii="仿宋_GB2312" w:eastAsia="仿宋_GB2312" w:cs="Times New Roman"/>
          <w:color w:val="000000"/>
          <w:kern w:val="2"/>
          <w:sz w:val="32"/>
          <w:szCs w:val="32"/>
        </w:rPr>
        <w:t>20</w:t>
      </w:r>
      <w:r>
        <w:rPr>
          <w:rFonts w:hint="eastAsia" w:ascii="仿宋_GB2312" w:eastAsia="仿宋_GB2312" w:cs="Times New Roman"/>
          <w:color w:val="000000"/>
          <w:kern w:val="2"/>
          <w:sz w:val="32"/>
          <w:szCs w:val="32"/>
        </w:rPr>
        <w:t>元以下的罚款的；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（二）不当场收缴事后难以执行的；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（三）在边远、水上、交通不便地区，当事人向指定的银行缴纳罚款确有困难，经当事人主动提出的。</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第四十九条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执法人员当场收缴罚款的，必须向当事人出具由财政局制发的罚款收据。当场收缴的罚款应当自收缴罚款之日起</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日内，交至区执法局财务室，财务室应在</w:t>
      </w:r>
      <w:r>
        <w:rPr>
          <w:rFonts w:ascii="仿宋_GB2312" w:eastAsia="仿宋_GB2312" w:cs="Times New Roman"/>
          <w:color w:val="000000"/>
          <w:kern w:val="2"/>
          <w:sz w:val="32"/>
          <w:szCs w:val="32"/>
        </w:rPr>
        <w:t>2</w:t>
      </w:r>
      <w:r>
        <w:rPr>
          <w:rFonts w:hint="eastAsia" w:ascii="仿宋_GB2312" w:eastAsia="仿宋_GB2312" w:cs="Times New Roman"/>
          <w:color w:val="000000"/>
          <w:kern w:val="2"/>
          <w:sz w:val="32"/>
          <w:szCs w:val="32"/>
        </w:rPr>
        <w:t>日内将罚款缴付指定银行。</w:t>
      </w:r>
    </w:p>
    <w:p>
      <w:pPr>
        <w:pStyle w:val="11"/>
        <w:widowControl w:val="0"/>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有下列情形之一的，承办单位可写出书面申请，经区执法局法制股审查并报区执法局负责人批准后中止执行：</w:t>
      </w:r>
    </w:p>
    <w:p>
      <w:pPr>
        <w:pStyle w:val="11"/>
        <w:widowControl w:val="0"/>
        <w:numPr>
          <w:ilvl w:val="0"/>
          <w:numId w:val="5"/>
        </w:numPr>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当事人逃逸或下落不明，导致无法继续执行的；</w:t>
      </w:r>
    </w:p>
    <w:p>
      <w:pPr>
        <w:pStyle w:val="11"/>
        <w:widowControl w:val="0"/>
        <w:numPr>
          <w:ilvl w:val="0"/>
          <w:numId w:val="5"/>
        </w:numPr>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当事人确无财产可供执行的；</w:t>
      </w:r>
    </w:p>
    <w:p>
      <w:pPr>
        <w:pStyle w:val="11"/>
        <w:widowControl w:val="0"/>
        <w:numPr>
          <w:ilvl w:val="0"/>
          <w:numId w:val="5"/>
        </w:numPr>
        <w:spacing w:before="0" w:after="0" w:line="60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人民法院已受理以当事人为债务人的破产申请的。</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中止情形消失后，应恢复执行。</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有下列情形之一的，承办单位可写出书面申请，经区执法局法制股审查并报区城管执法局负责人批准后终结执行，并作案件结案报告：</w:t>
      </w:r>
    </w:p>
    <w:p>
      <w:pPr>
        <w:pStyle w:val="11"/>
        <w:widowControl w:val="0"/>
        <w:numPr>
          <w:ilvl w:val="0"/>
          <w:numId w:val="6"/>
        </w:numPr>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经行政复议或行政诉讼，撤销原行政处罚决定的；</w:t>
      </w:r>
    </w:p>
    <w:p>
      <w:pPr>
        <w:pStyle w:val="11"/>
        <w:widowControl w:val="0"/>
        <w:numPr>
          <w:ilvl w:val="0"/>
          <w:numId w:val="6"/>
        </w:numPr>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当事人生活困难，无收入来源，又丧失劳动能力的。</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案件执行完毕，案件承办单位应写出案件结案报告，经局法制股审核并报区局负责人批准后，将案件相关材料统一交至局法制股存档，局法制股定期转交局档案室归档。</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58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第五章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行政强制措施程序</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执法人员发现违法行为，应当当场责令其改正；当场不能改正的，填写责令限期改正通知书，责令其限期改正。</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对下列违法行为，执法人员可依照有关规定，分别实施锁扣车辆、拆除违法设施等行政强制措施：</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（一）违法张贴、涂写、刻画行为；</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（二）车辆在人行道、绿地上行驶、停放行为；</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（三）违法设置户外广告、临时建筑物、构筑物等设施的行为；</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（四）其他依法可以对其实施行政强制措施行为。</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采取拆除违法设施行政强制措施的，承办案件的执法人员应当：</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（一）发现有违法嫌疑的广告牌、临时建筑物、构筑物等设施的，责令当事人提供相关审批文件，当场不能提供的，应当制发限期提供证据通知书，责令其提供相关审批文件等证据材料；</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（二）当事人在限定期限内未提供相关证据材料的，填写责令限期改正通知书，责令当事人限期拆除；</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（三）当事人在规定期限内未拆除的，下达行政处罚决定书，本部门依法强制拆除或申请人民法院强制拆除；</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（四）在依法实施强制拆除时，制作笔录，交由当事人签名。当事人拒不签名或无正当理由拒不到场的，应当在笔录中注明并由两名以上执法人员签名。</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第五十六条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依照法律及本章规定采取上述查封、扣押、责令停止或限期停止违法行为、责令限期拆除等行政强制措施及责令限期改正违法行为通知书、先行登记保存证据的，执法人员应当填写《行政执法案件有关事项审批表》，报区城管执法局负责人审批。</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58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第六章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监督管理</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第五十七条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案件处理终结后，案件承办单位应将立案登记表、案件处理批件、证据材料、行政处罚决定书等材料统一交至局法制股进行立卷归档。适用一般程序、听证程序处理的案件，应当制作案件结案报告，附卷归档。</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案件结案报告应当载明当事人的基本情况、案件事实、查处经过、处罚决定、执行结果等。</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第五十八条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有关行政机关移交的行政处罚案件或市民投诉要求答复的处罚案件办理终结后，应当及时将案件的处理结果向交办单位报告或向投诉市民作出答复。</w:t>
      </w:r>
      <w:r>
        <w:rPr>
          <w:rFonts w:ascii="仿宋_GB2312" w:eastAsia="仿宋_GB2312" w:cs="Times New Roman"/>
          <w:color w:val="000000"/>
          <w:kern w:val="2"/>
          <w:sz w:val="32"/>
          <w:szCs w:val="32"/>
        </w:rPr>
        <w:t xml:space="preserve"> </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第五十九条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执法人员应在法定职权范围内、依法定程序进行执法。没有法定依据或者不遵守法定程序的，行政处罚无效。</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执法局应当严格实行执法收支两条线，罚款款额全部上缴国库。</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第六十一条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局属各中队应对处理的违法案件进行逐日、逐月统计，做好每月执法统计报表和执法工作总结，报局法制股备案。</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第六十二条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对有违法或者不当执法行为的有关行政执法人员，可以根据年度考核情况，或者根据过错形式、危害大小、情节轻重，给予批评教育、离岗培训、调离执法岗位、取消执法资格等处理。依法依纪应当追究政纪责任的，给予政纪处分。涉嫌犯罪的，移送司法机关处理。</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p>
    <w:p>
      <w:pPr>
        <w:pStyle w:val="11"/>
        <w:widowControl w:val="0"/>
        <w:spacing w:before="0" w:after="0" w:line="580" w:lineRule="exact"/>
        <w:jc w:val="center"/>
        <w:rPr>
          <w:rFonts w:ascii="仿宋_GB2312" w:eastAsia="仿宋_GB2312" w:cs="Times New Roman"/>
          <w:b/>
          <w:color w:val="000000"/>
          <w:kern w:val="2"/>
          <w:sz w:val="32"/>
          <w:szCs w:val="32"/>
        </w:rPr>
      </w:pPr>
      <w:r>
        <w:rPr>
          <w:rFonts w:hint="eastAsia" w:ascii="仿宋_GB2312" w:eastAsia="仿宋_GB2312" w:cs="Times New Roman"/>
          <w:b/>
          <w:color w:val="000000"/>
          <w:kern w:val="2"/>
          <w:sz w:val="32"/>
          <w:szCs w:val="32"/>
        </w:rPr>
        <w:t>第七章</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附</w:t>
      </w:r>
      <w:r>
        <w:rPr>
          <w:rFonts w:ascii="仿宋_GB2312" w:eastAsia="仿宋_GB2312" w:cs="Times New Roman"/>
          <w:b/>
          <w:color w:val="000000"/>
          <w:kern w:val="2"/>
          <w:sz w:val="32"/>
          <w:szCs w:val="32"/>
        </w:rPr>
        <w:t xml:space="preserve"> </w:t>
      </w:r>
      <w:r>
        <w:rPr>
          <w:rFonts w:hint="eastAsia" w:ascii="仿宋_GB2312" w:eastAsia="仿宋_GB2312" w:cs="Times New Roman"/>
          <w:b/>
          <w:color w:val="000000"/>
          <w:kern w:val="2"/>
          <w:sz w:val="32"/>
          <w:szCs w:val="32"/>
        </w:rPr>
        <w:t>则</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第六十三条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执法文书格式由区城管执法局统一制定、印制和管理。</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第六十四条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本规定由区执法局法制股负责解释。</w:t>
      </w:r>
    </w:p>
    <w:p>
      <w:pPr>
        <w:pStyle w:val="11"/>
        <w:widowControl w:val="0"/>
        <w:spacing w:before="0" w:after="0" w:line="580" w:lineRule="exact"/>
        <w:ind w:firstLine="640" w:firstLineChars="200"/>
        <w:jc w:val="both"/>
        <w:rPr>
          <w:rFonts w:ascii="仿宋_GB2312" w:eastAsia="仿宋_GB2312" w:cs="Times New Roman"/>
          <w:color w:val="000000"/>
          <w:kern w:val="2"/>
          <w:sz w:val="32"/>
          <w:szCs w:val="32"/>
        </w:rPr>
      </w:pPr>
      <w:r>
        <w:rPr>
          <w:rFonts w:hint="eastAsia" w:ascii="仿宋_GB2312" w:eastAsia="仿宋_GB2312" w:cs="Times New Roman"/>
          <w:color w:val="000000"/>
          <w:kern w:val="2"/>
          <w:sz w:val="32"/>
          <w:szCs w:val="32"/>
        </w:rPr>
        <w:t>第六十五条</w:t>
      </w:r>
      <w:r>
        <w:rPr>
          <w:rFonts w:ascii="仿宋_GB2312" w:eastAsia="仿宋_GB2312" w:cs="Times New Roman"/>
          <w:color w:val="000000"/>
          <w:kern w:val="2"/>
          <w:sz w:val="32"/>
          <w:szCs w:val="32"/>
        </w:rPr>
        <w:t xml:space="preserve"> </w:t>
      </w:r>
      <w:r>
        <w:rPr>
          <w:rFonts w:hint="eastAsia" w:ascii="仿宋_GB2312" w:eastAsia="仿宋_GB2312" w:cs="Times New Roman"/>
          <w:color w:val="000000"/>
          <w:kern w:val="2"/>
          <w:sz w:val="32"/>
          <w:szCs w:val="32"/>
        </w:rPr>
        <w:t>本规定自发布之日起施行。</w:t>
      </w:r>
    </w:p>
    <w:p>
      <w:pPr>
        <w:pStyle w:val="11"/>
        <w:widowControl w:val="0"/>
        <w:spacing w:before="0" w:after="0" w:line="600" w:lineRule="exact"/>
        <w:jc w:val="center"/>
        <w:rPr>
          <w:rFonts w:ascii="仿宋_GB2312" w:eastAsia="仿宋_GB2312"/>
          <w:b/>
          <w:color w:val="000000"/>
          <w:sz w:val="32"/>
          <w:szCs w:val="32"/>
        </w:rPr>
      </w:pPr>
      <w:r>
        <w:rPr>
          <w:rFonts w:ascii="仿宋_GB2312" w:eastAsia="仿宋_GB2312"/>
          <w:b/>
          <w:color w:val="000000"/>
          <w:sz w:val="32"/>
          <w:szCs w:val="32"/>
        </w:rPr>
        <w:br w:type="page"/>
      </w:r>
      <w:r>
        <w:rPr>
          <w:rFonts w:hint="eastAsia" w:ascii="仿宋_GB2312" w:eastAsia="仿宋_GB2312"/>
          <w:b/>
          <w:color w:val="000000"/>
          <w:sz w:val="32"/>
          <w:szCs w:val="32"/>
        </w:rPr>
        <w:t>（三）行政处罚裁量权规范</w:t>
      </w:r>
    </w:p>
    <w:p>
      <w:pPr>
        <w:spacing w:line="600" w:lineRule="exact"/>
        <w:jc w:val="center"/>
        <w:rPr>
          <w:rFonts w:ascii="仿宋_GB2312" w:hAnsi="宋体" w:eastAsia="仿宋_GB2312"/>
          <w:color w:val="000000"/>
          <w:sz w:val="32"/>
          <w:szCs w:val="32"/>
        </w:rPr>
      </w:pPr>
      <w:r>
        <w:rPr>
          <w:rFonts w:hint="eastAsia" w:ascii="仿宋_GB2312" w:hAnsi="宋体" w:eastAsia="仿宋_GB2312"/>
          <w:color w:val="000000"/>
          <w:sz w:val="32"/>
          <w:szCs w:val="32"/>
        </w:rPr>
        <w:t>单位名称：大祥区城市管理行政执法局</w:t>
      </w:r>
    </w:p>
    <w:p>
      <w:pPr>
        <w:spacing w:line="600" w:lineRule="exact"/>
        <w:rPr>
          <w:rFonts w:ascii="仿宋_GB2312" w:eastAsia="仿宋_GB2312"/>
          <w:color w:val="000000"/>
          <w:sz w:val="32"/>
          <w:szCs w:val="32"/>
        </w:rPr>
      </w:pP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为保证城市管理行政执法部门在实施行政处罚时公平、公正、合理地行使自由裁量权，防止执法随意化，真正体现依法行政、执政为民的理念，维护公民、法人和其他组织的合法权益，根据《中华人民共和国行政处罚法》、《湖南省城市管理相对集中行政处罚权》等相关规定，实施行政处罚自由裁量权规范制度。</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一、主要内容</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对法律、法规和规章中规定的违法行为种类、情节、性质和社会危害程度，以及从轻、减轻、从重处罚等情形进行细化，并归纳、分类；对法律、法规、规章规定可以选择或并用行政处罚种类的，根据违法行为的事实、情节、性质、社会危害程度和违法当事人主观过错、消除违法行为后果或影响等因素，确定适用该行政处罚种类的具体标准及单处、并处的行政处罚标准；对法律、法规、规章规定行政处罚有自由裁量幅度的，根据上述因素，细化具体的行政处罚幅度；对法律、法规、规章没有预定行政处罚罚款的裁量阶次和幅度的，可以按照比例原则匡算出相对科学、合理的裁量阶次和罚款幅度，但均不得超过法定罚款限度。</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二、标准规范</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w:t>
      </w:r>
      <w:r>
        <w:rPr>
          <w:rFonts w:hint="eastAsia" w:ascii="仿宋_GB2312" w:eastAsia="仿宋_GB2312"/>
          <w:bCs/>
          <w:color w:val="000000"/>
          <w:spacing w:val="15"/>
          <w:sz w:val="32"/>
          <w:szCs w:val="32"/>
          <w:shd w:val="clear" w:color="auto" w:fill="F9FCFE"/>
        </w:rPr>
        <w:t>邵阳市城市管理行政处罚行使自由裁量权具体规则</w:t>
      </w:r>
      <w:r>
        <w:rPr>
          <w:rFonts w:hint="eastAsia" w:ascii="仿宋_GB2312" w:hAnsi="宋体" w:eastAsia="仿宋_GB2312"/>
          <w:color w:val="000000"/>
          <w:sz w:val="32"/>
          <w:szCs w:val="32"/>
        </w:rPr>
        <w:t>》由邵阳市市城市管理行政执法局制订，已于颁布之日开始实施。</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本规范所称的行政处罚实施机构，是指大祥区城市管理行政执法局。</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三、相关措施</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大祥区城管局法制股负责各行政处罚实施机构行政处罚裁量行为的规范和监督，并对行政处罚裁量标准规范的实施情况进行评估，根据法律、法规、规章的修改和废止以及经济形式、社会情形等变化上报大祥区人民政府及邵阳市市城市管理行政执法局建议调整和完善。</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（二）违法行为有《中华人民共和国行政处罚法》不予行政处罚规定情形之一的，不予行政处罚。</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（三）从重处罚、从轻处罚、一般处罚情节，依照《中华人民共和国行政处罚法》、《</w:t>
      </w:r>
      <w:r>
        <w:rPr>
          <w:rFonts w:hint="eastAsia" w:ascii="仿宋_GB2312" w:eastAsia="仿宋_GB2312"/>
          <w:bCs/>
          <w:color w:val="000000"/>
          <w:spacing w:val="15"/>
          <w:sz w:val="32"/>
          <w:szCs w:val="32"/>
          <w:shd w:val="clear" w:color="auto" w:fill="F9FCFE"/>
        </w:rPr>
        <w:t>邵阳市城市管理行政处罚行使自由裁量权具体规则</w:t>
      </w:r>
      <w:r>
        <w:rPr>
          <w:rFonts w:hint="eastAsia" w:ascii="仿宋_GB2312" w:hAnsi="宋体" w:eastAsia="仿宋_GB2312"/>
          <w:color w:val="000000"/>
          <w:sz w:val="32"/>
          <w:szCs w:val="32"/>
        </w:rPr>
        <w:t>》予以认定。</w:t>
      </w:r>
    </w:p>
    <w:p>
      <w:pPr>
        <w:spacing w:line="6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（四）依照《邵阳市城市管理行政执法局行政执法程序暂行规定》，拟对公民处以</w:t>
      </w:r>
      <w:r>
        <w:rPr>
          <w:rFonts w:ascii="仿宋_GB2312" w:hAnsi="宋体" w:eastAsia="仿宋_GB2312"/>
          <w:color w:val="000000"/>
          <w:sz w:val="32"/>
          <w:szCs w:val="32"/>
        </w:rPr>
        <w:t>5000</w:t>
      </w:r>
      <w:r>
        <w:rPr>
          <w:rFonts w:hint="eastAsia" w:ascii="仿宋_GB2312" w:hAnsi="宋体" w:eastAsia="仿宋_GB2312"/>
          <w:color w:val="000000"/>
          <w:sz w:val="32"/>
          <w:szCs w:val="32"/>
        </w:rPr>
        <w:t>元以上罚款或没收违法所得的</w:t>
      </w:r>
      <w:r>
        <w:rPr>
          <w:rFonts w:ascii="仿宋_GB2312" w:hAnsi="宋体" w:eastAsia="仿宋_GB2312"/>
          <w:color w:val="000000"/>
          <w:sz w:val="32"/>
          <w:szCs w:val="32"/>
        </w:rPr>
        <w:t xml:space="preserve"> </w:t>
      </w:r>
      <w:r>
        <w:rPr>
          <w:rFonts w:hint="eastAsia" w:ascii="仿宋_GB2312" w:hAnsi="宋体" w:eastAsia="仿宋_GB2312"/>
          <w:color w:val="000000"/>
          <w:sz w:val="32"/>
          <w:szCs w:val="32"/>
        </w:rPr>
        <w:t>、对法人和其他组织处以</w:t>
      </w:r>
      <w:r>
        <w:rPr>
          <w:rFonts w:ascii="仿宋_GB2312" w:hAnsi="宋体" w:eastAsia="仿宋_GB2312"/>
          <w:color w:val="000000"/>
          <w:sz w:val="32"/>
          <w:szCs w:val="32"/>
        </w:rPr>
        <w:t>50000</w:t>
      </w:r>
      <w:r>
        <w:rPr>
          <w:rFonts w:hint="eastAsia" w:ascii="仿宋_GB2312" w:hAnsi="宋体" w:eastAsia="仿宋_GB2312"/>
          <w:color w:val="000000"/>
          <w:sz w:val="32"/>
          <w:szCs w:val="32"/>
        </w:rPr>
        <w:t>元以上罚款或没收违法所得的、没收非法财物达到上述金额的等案件，提交区城管执法局负责人集体讨论决定。</w:t>
      </w:r>
    </w:p>
    <w:p>
      <w:pPr>
        <w:spacing w:line="600" w:lineRule="exact"/>
        <w:ind w:firstLine="640" w:firstLineChars="200"/>
        <w:rPr>
          <w:rFonts w:ascii="方正小标宋_GBK" w:eastAsia="方正小标宋_GBK" w:cs="方正小标宋_GBK"/>
          <w:color w:val="000000"/>
          <w:sz w:val="44"/>
          <w:szCs w:val="44"/>
        </w:rPr>
      </w:pPr>
      <w:r>
        <w:rPr>
          <w:rFonts w:hint="eastAsia" w:ascii="仿宋_GB2312" w:hAnsi="宋体" w:eastAsia="仿宋_GB2312"/>
          <w:color w:val="000000"/>
          <w:sz w:val="32"/>
          <w:szCs w:val="32"/>
        </w:rPr>
        <w:t>（五）本行政处罚自由裁量行为规范自公布之日施行。</w:t>
      </w:r>
    </w:p>
    <w:p>
      <w:pPr>
        <w:tabs>
          <w:tab w:val="left" w:pos="0"/>
        </w:tabs>
        <w:jc w:val="center"/>
        <w:rPr>
          <w:rFonts w:ascii="方正小标宋简体" w:eastAsia="方正小标宋简体" w:cs="方正小标宋_GBK"/>
          <w:color w:val="000000"/>
          <w:sz w:val="44"/>
          <w:szCs w:val="44"/>
        </w:rPr>
      </w:pPr>
      <w:r>
        <w:rPr>
          <w:rFonts w:ascii="方正小标宋_GBK" w:eastAsia="方正小标宋_GBK" w:cs="方正小标宋_GBK"/>
          <w:color w:val="000000"/>
          <w:sz w:val="44"/>
          <w:szCs w:val="44"/>
        </w:rPr>
        <w:br w:type="page"/>
      </w:r>
      <w:r>
        <w:rPr>
          <w:rFonts w:hint="eastAsia" w:ascii="方正小标宋简体" w:eastAsia="方正小标宋简体" w:cs="方正小标宋_GBK"/>
          <w:color w:val="000000"/>
          <w:sz w:val="44"/>
          <w:szCs w:val="44"/>
        </w:rPr>
        <w:t>四、公共服务事项</w:t>
      </w:r>
    </w:p>
    <w:tbl>
      <w:tblPr>
        <w:tblStyle w:val="5"/>
        <w:tblpPr w:leftFromText="180" w:rightFromText="180" w:vertAnchor="text" w:horzAnchor="margin" w:tblpXSpec="center" w:tblpY="626"/>
        <w:tblW w:w="9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602"/>
        <w:gridCol w:w="3858"/>
        <w:gridCol w:w="167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10" w:type="dxa"/>
            <w:vAlign w:val="center"/>
          </w:tcPr>
          <w:p>
            <w:pPr>
              <w:adjustRightInd w:val="0"/>
              <w:snapToGrid w:val="0"/>
              <w:spacing w:line="300" w:lineRule="exact"/>
              <w:jc w:val="center"/>
              <w:rPr>
                <w:rFonts w:ascii="黑体" w:eastAsia="黑体"/>
                <w:color w:val="000000"/>
                <w:szCs w:val="21"/>
              </w:rPr>
            </w:pPr>
            <w:r>
              <w:rPr>
                <w:rFonts w:hint="eastAsia" w:ascii="黑体" w:hAnsi="宋体" w:eastAsia="黑体"/>
                <w:color w:val="000000"/>
                <w:szCs w:val="21"/>
              </w:rPr>
              <w:t>序号</w:t>
            </w:r>
          </w:p>
        </w:tc>
        <w:tc>
          <w:tcPr>
            <w:tcW w:w="1602" w:type="dxa"/>
            <w:vAlign w:val="center"/>
          </w:tcPr>
          <w:p>
            <w:pPr>
              <w:adjustRightInd w:val="0"/>
              <w:snapToGrid w:val="0"/>
              <w:spacing w:line="300" w:lineRule="exact"/>
              <w:jc w:val="center"/>
              <w:rPr>
                <w:rFonts w:ascii="黑体" w:eastAsia="黑体"/>
                <w:color w:val="000000"/>
                <w:szCs w:val="21"/>
              </w:rPr>
            </w:pPr>
            <w:r>
              <w:rPr>
                <w:rFonts w:hint="eastAsia" w:ascii="黑体" w:hAnsi="宋体" w:eastAsia="黑体"/>
                <w:color w:val="000000"/>
                <w:szCs w:val="21"/>
              </w:rPr>
              <w:t>服务事项</w:t>
            </w:r>
          </w:p>
        </w:tc>
        <w:tc>
          <w:tcPr>
            <w:tcW w:w="3858" w:type="dxa"/>
            <w:vAlign w:val="center"/>
          </w:tcPr>
          <w:p>
            <w:pPr>
              <w:adjustRightInd w:val="0"/>
              <w:snapToGrid w:val="0"/>
              <w:spacing w:line="300" w:lineRule="exact"/>
              <w:jc w:val="center"/>
              <w:rPr>
                <w:rFonts w:ascii="黑体" w:eastAsia="黑体"/>
                <w:color w:val="000000"/>
                <w:szCs w:val="21"/>
              </w:rPr>
            </w:pPr>
            <w:r>
              <w:rPr>
                <w:rFonts w:hint="eastAsia" w:ascii="黑体" w:hAnsi="宋体" w:eastAsia="黑体"/>
                <w:color w:val="000000"/>
                <w:szCs w:val="21"/>
              </w:rPr>
              <w:t>主要内容</w:t>
            </w:r>
          </w:p>
        </w:tc>
        <w:tc>
          <w:tcPr>
            <w:tcW w:w="1678" w:type="dxa"/>
            <w:vAlign w:val="center"/>
          </w:tcPr>
          <w:p>
            <w:pPr>
              <w:adjustRightInd w:val="0"/>
              <w:snapToGrid w:val="0"/>
              <w:spacing w:line="300" w:lineRule="exact"/>
              <w:jc w:val="center"/>
              <w:rPr>
                <w:rFonts w:ascii="黑体" w:eastAsia="黑体"/>
                <w:color w:val="000000"/>
                <w:szCs w:val="21"/>
              </w:rPr>
            </w:pPr>
            <w:r>
              <w:rPr>
                <w:rFonts w:hint="eastAsia" w:ascii="黑体" w:hAnsi="宋体" w:eastAsia="黑体" w:cs="仿宋"/>
                <w:bCs/>
                <w:color w:val="000000"/>
                <w:szCs w:val="21"/>
              </w:rPr>
              <w:t>承办机构</w:t>
            </w:r>
          </w:p>
        </w:tc>
        <w:tc>
          <w:tcPr>
            <w:tcW w:w="1407" w:type="dxa"/>
            <w:vAlign w:val="center"/>
          </w:tcPr>
          <w:p>
            <w:pPr>
              <w:adjustRightInd w:val="0"/>
              <w:snapToGrid w:val="0"/>
              <w:spacing w:line="300" w:lineRule="exact"/>
              <w:jc w:val="center"/>
              <w:rPr>
                <w:rFonts w:ascii="黑体" w:eastAsia="黑体"/>
                <w:color w:val="000000"/>
                <w:szCs w:val="21"/>
              </w:rPr>
            </w:pPr>
            <w:r>
              <w:rPr>
                <w:rFonts w:hint="eastAsia" w:ascii="黑体" w:hAnsi="宋体" w:eastAsia="黑体" w:cs="仿宋"/>
                <w:bCs/>
                <w:color w:val="00000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4" w:hRule="atLeast"/>
        </w:trPr>
        <w:tc>
          <w:tcPr>
            <w:tcW w:w="710" w:type="dxa"/>
            <w:vAlign w:val="center"/>
          </w:tcPr>
          <w:p>
            <w:pPr>
              <w:adjustRightInd w:val="0"/>
              <w:snapToGrid w:val="0"/>
              <w:spacing w:line="300" w:lineRule="exact"/>
              <w:jc w:val="center"/>
              <w:rPr>
                <w:rFonts w:ascii="宋体"/>
                <w:color w:val="000000"/>
                <w:szCs w:val="21"/>
              </w:rPr>
            </w:pPr>
            <w:r>
              <w:rPr>
                <w:rFonts w:ascii="宋体" w:hAnsi="宋体"/>
                <w:color w:val="000000"/>
                <w:szCs w:val="21"/>
              </w:rPr>
              <w:t>1</w:t>
            </w:r>
          </w:p>
        </w:tc>
        <w:tc>
          <w:tcPr>
            <w:tcW w:w="1602" w:type="dxa"/>
            <w:vAlign w:val="center"/>
          </w:tcPr>
          <w:p>
            <w:pPr>
              <w:autoSpaceDE w:val="0"/>
              <w:autoSpaceDN w:val="0"/>
              <w:adjustRightInd w:val="0"/>
              <w:snapToGrid w:val="0"/>
              <w:spacing w:line="300" w:lineRule="exact"/>
              <w:rPr>
                <w:rFonts w:ascii="宋体"/>
                <w:color w:val="000000"/>
                <w:szCs w:val="21"/>
              </w:rPr>
            </w:pPr>
            <w:r>
              <w:rPr>
                <w:rFonts w:hint="eastAsia" w:ascii="宋体" w:hAnsi="宋体"/>
                <w:color w:val="000000"/>
                <w:szCs w:val="21"/>
              </w:rPr>
              <w:t>城管开放日活动</w:t>
            </w:r>
          </w:p>
        </w:tc>
        <w:tc>
          <w:tcPr>
            <w:tcW w:w="3858" w:type="dxa"/>
            <w:vAlign w:val="center"/>
          </w:tcPr>
          <w:p>
            <w:pPr>
              <w:autoSpaceDE w:val="0"/>
              <w:autoSpaceDN w:val="0"/>
              <w:adjustRightInd w:val="0"/>
              <w:snapToGrid w:val="0"/>
              <w:spacing w:line="300" w:lineRule="exact"/>
              <w:rPr>
                <w:rFonts w:ascii="宋体"/>
                <w:color w:val="000000"/>
                <w:szCs w:val="21"/>
              </w:rPr>
            </w:pPr>
            <w:r>
              <w:rPr>
                <w:rFonts w:ascii="宋体" w:hAnsi="宋体"/>
                <w:color w:val="000000"/>
                <w:szCs w:val="21"/>
              </w:rPr>
              <w:t>1</w:t>
            </w:r>
            <w:r>
              <w:rPr>
                <w:rFonts w:hint="eastAsia" w:ascii="宋体" w:hAnsi="宋体"/>
                <w:color w:val="000000"/>
                <w:szCs w:val="21"/>
              </w:rPr>
              <w:t>、体验街头执法（劝导占道经营、无证经营，查处违章装修、违章搭建，管理抛洒滴漏、渣土运输管理）。</w:t>
            </w:r>
          </w:p>
          <w:p>
            <w:pPr>
              <w:autoSpaceDE w:val="0"/>
              <w:autoSpaceDN w:val="0"/>
              <w:adjustRightInd w:val="0"/>
              <w:snapToGrid w:val="0"/>
              <w:spacing w:line="300" w:lineRule="exact"/>
              <w:rPr>
                <w:rFonts w:ascii="宋体"/>
                <w:color w:val="000000"/>
                <w:szCs w:val="21"/>
              </w:rPr>
            </w:pPr>
            <w:r>
              <w:rPr>
                <w:rFonts w:ascii="宋体" w:hAnsi="宋体"/>
                <w:color w:val="000000"/>
                <w:szCs w:val="21"/>
              </w:rPr>
              <w:t>2</w:t>
            </w:r>
            <w:r>
              <w:rPr>
                <w:rFonts w:hint="eastAsia" w:ascii="宋体" w:hAnsi="宋体"/>
                <w:color w:val="000000"/>
                <w:szCs w:val="21"/>
              </w:rPr>
              <w:t>、深化城管进社区、进校园活动，不定期邀请社区居民代表等参观城管系统工作场所，与学校联手开展“我是小小城管人”活动。</w:t>
            </w:r>
          </w:p>
        </w:tc>
        <w:tc>
          <w:tcPr>
            <w:tcW w:w="1678" w:type="dxa"/>
            <w:vAlign w:val="center"/>
          </w:tcPr>
          <w:p>
            <w:pPr>
              <w:adjustRightInd w:val="0"/>
              <w:snapToGrid w:val="0"/>
              <w:spacing w:line="300" w:lineRule="exact"/>
              <w:jc w:val="center"/>
              <w:rPr>
                <w:rFonts w:ascii="宋体"/>
                <w:color w:val="000000"/>
                <w:szCs w:val="21"/>
              </w:rPr>
            </w:pPr>
            <w:r>
              <w:rPr>
                <w:rFonts w:hint="eastAsia" w:ascii="宋体" w:hAnsi="宋体"/>
                <w:color w:val="000000"/>
                <w:szCs w:val="21"/>
              </w:rPr>
              <w:t>办公室</w:t>
            </w:r>
          </w:p>
        </w:tc>
        <w:tc>
          <w:tcPr>
            <w:tcW w:w="1407" w:type="dxa"/>
            <w:vAlign w:val="center"/>
          </w:tcPr>
          <w:p>
            <w:pPr>
              <w:adjustRightInd w:val="0"/>
              <w:snapToGrid w:val="0"/>
              <w:spacing w:line="300" w:lineRule="exact"/>
              <w:jc w:val="center"/>
              <w:rPr>
                <w:rFonts w:ascii="宋体"/>
                <w:color w:val="000000"/>
                <w:szCs w:val="21"/>
              </w:rPr>
            </w:pPr>
            <w:r>
              <w:rPr>
                <w:rFonts w:ascii="宋体" w:hAnsi="宋体"/>
                <w:color w:val="000000"/>
                <w:szCs w:val="21"/>
              </w:rPr>
              <w:t>5311344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710" w:type="dxa"/>
            <w:vAlign w:val="center"/>
          </w:tcPr>
          <w:p>
            <w:pPr>
              <w:adjustRightInd w:val="0"/>
              <w:snapToGrid w:val="0"/>
              <w:spacing w:line="300" w:lineRule="exact"/>
              <w:jc w:val="center"/>
              <w:rPr>
                <w:rFonts w:ascii="宋体"/>
                <w:color w:val="000000"/>
                <w:szCs w:val="21"/>
              </w:rPr>
            </w:pPr>
            <w:r>
              <w:rPr>
                <w:rFonts w:ascii="宋体" w:hAnsi="宋体"/>
                <w:color w:val="000000"/>
                <w:szCs w:val="21"/>
              </w:rPr>
              <w:t>2</w:t>
            </w:r>
          </w:p>
        </w:tc>
        <w:tc>
          <w:tcPr>
            <w:tcW w:w="1602" w:type="dxa"/>
            <w:vAlign w:val="center"/>
          </w:tcPr>
          <w:p>
            <w:pPr>
              <w:autoSpaceDE w:val="0"/>
              <w:autoSpaceDN w:val="0"/>
              <w:adjustRightInd w:val="0"/>
              <w:snapToGrid w:val="0"/>
              <w:spacing w:line="300" w:lineRule="exact"/>
              <w:rPr>
                <w:rFonts w:ascii="宋体"/>
                <w:color w:val="000000"/>
                <w:szCs w:val="21"/>
              </w:rPr>
            </w:pPr>
            <w:r>
              <w:rPr>
                <w:rFonts w:ascii="宋体" w:hAnsi="宋体"/>
                <w:color w:val="000000"/>
                <w:szCs w:val="21"/>
              </w:rPr>
              <w:t>12345</w:t>
            </w:r>
            <w:r>
              <w:rPr>
                <w:rFonts w:hint="eastAsia" w:ascii="宋体" w:hAnsi="宋体"/>
                <w:color w:val="000000"/>
                <w:szCs w:val="21"/>
              </w:rPr>
              <w:t>城管热线</w:t>
            </w:r>
          </w:p>
        </w:tc>
        <w:tc>
          <w:tcPr>
            <w:tcW w:w="3858" w:type="dxa"/>
            <w:vAlign w:val="center"/>
          </w:tcPr>
          <w:p>
            <w:pPr>
              <w:autoSpaceDE w:val="0"/>
              <w:autoSpaceDN w:val="0"/>
              <w:adjustRightInd w:val="0"/>
              <w:snapToGrid w:val="0"/>
              <w:spacing w:line="300" w:lineRule="exact"/>
              <w:rPr>
                <w:rFonts w:ascii="宋体"/>
                <w:color w:val="000000"/>
                <w:szCs w:val="21"/>
              </w:rPr>
            </w:pPr>
            <w:r>
              <w:rPr>
                <w:rFonts w:hint="eastAsia" w:ascii="宋体" w:hAnsi="宋体"/>
                <w:color w:val="000000"/>
                <w:szCs w:val="21"/>
              </w:rPr>
              <w:t>受理市民对城市管理、环境卫生、园林绿化等和行政执法范畴的投诉。</w:t>
            </w:r>
          </w:p>
        </w:tc>
        <w:tc>
          <w:tcPr>
            <w:tcW w:w="1678" w:type="dxa"/>
            <w:vAlign w:val="center"/>
          </w:tcPr>
          <w:p>
            <w:pPr>
              <w:adjustRightInd w:val="0"/>
              <w:snapToGrid w:val="0"/>
              <w:spacing w:line="300" w:lineRule="exact"/>
              <w:jc w:val="center"/>
              <w:rPr>
                <w:rFonts w:ascii="宋体"/>
                <w:color w:val="000000"/>
                <w:szCs w:val="21"/>
              </w:rPr>
            </w:pPr>
            <w:r>
              <w:rPr>
                <w:rFonts w:hint="eastAsia" w:ascii="宋体" w:hAnsi="宋体"/>
                <w:color w:val="000000"/>
                <w:szCs w:val="21"/>
              </w:rPr>
              <w:t>纪检监察室</w:t>
            </w:r>
          </w:p>
          <w:p>
            <w:pPr>
              <w:adjustRightInd w:val="0"/>
              <w:snapToGrid w:val="0"/>
              <w:spacing w:line="300" w:lineRule="exact"/>
              <w:jc w:val="center"/>
              <w:rPr>
                <w:rFonts w:ascii="宋体"/>
                <w:color w:val="000000"/>
                <w:szCs w:val="21"/>
              </w:rPr>
            </w:pPr>
            <w:r>
              <w:rPr>
                <w:rFonts w:hint="eastAsia" w:ascii="宋体" w:hAnsi="宋体"/>
                <w:color w:val="000000"/>
                <w:szCs w:val="21"/>
              </w:rPr>
              <w:t>办公室</w:t>
            </w:r>
          </w:p>
        </w:tc>
        <w:tc>
          <w:tcPr>
            <w:tcW w:w="1407" w:type="dxa"/>
            <w:vAlign w:val="center"/>
          </w:tcPr>
          <w:p>
            <w:pPr>
              <w:jc w:val="center"/>
              <w:rPr>
                <w:color w:val="000000"/>
                <w:szCs w:val="21"/>
              </w:rPr>
            </w:pPr>
            <w:r>
              <w:rPr>
                <w:rFonts w:ascii="宋体" w:hAnsi="宋体"/>
                <w:color w:val="000000"/>
                <w:szCs w:val="21"/>
              </w:rPr>
              <w:t>5311344</w:t>
            </w:r>
          </w:p>
        </w:tc>
      </w:tr>
    </w:tbl>
    <w:p>
      <w:pPr>
        <w:rPr>
          <w:rFonts w:ascii="仿宋_GB2312" w:eastAsia="仿宋_GB2312" w:cs="仿宋"/>
          <w:color w:val="000000"/>
          <w:sz w:val="32"/>
          <w:szCs w:val="32"/>
        </w:rPr>
      </w:pPr>
      <w:r>
        <w:rPr>
          <w:rFonts w:hint="eastAsia" w:ascii="仿宋_GB2312" w:hAnsi="宋体" w:eastAsia="仿宋_GB2312" w:cs="仿宋"/>
          <w:color w:val="000000"/>
          <w:sz w:val="32"/>
          <w:szCs w:val="32"/>
        </w:rPr>
        <w:t>部门名称（盖章）：</w:t>
      </w:r>
      <w:r>
        <w:rPr>
          <w:rFonts w:hint="eastAsia" w:ascii="仿宋_GB2312" w:eastAsia="仿宋_GB2312" w:cs="仿宋"/>
          <w:color w:val="000000"/>
          <w:sz w:val="32"/>
          <w:szCs w:val="32"/>
        </w:rPr>
        <w:t>大祥区城市管理行政执法局</w:t>
      </w:r>
    </w:p>
    <w:p>
      <w:pPr>
        <w:rPr>
          <w:rFonts w:ascii="仿宋" w:eastAsia="仿宋" w:cs="仿宋"/>
          <w:b/>
          <w:bCs/>
          <w:color w:val="000000"/>
          <w:sz w:val="32"/>
          <w:szCs w:val="32"/>
        </w:rPr>
      </w:pPr>
    </w:p>
    <w:p>
      <w:pPr>
        <w:rPr>
          <w:rFonts w:ascii="黑体" w:eastAsia="黑体" w:cs="黑体"/>
          <w:color w:val="000000"/>
          <w:sz w:val="32"/>
          <w:szCs w:val="32"/>
          <w:shd w:val="clear" w:color="auto" w:fill="FFFFFF"/>
        </w:rPr>
      </w:pPr>
    </w:p>
    <w:p>
      <w:pPr>
        <w:rPr>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313</w:t>
    </w:r>
    <w:r>
      <w:rPr>
        <w:rStyle w:val="7"/>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FFE0E"/>
    <w:multiLevelType w:val="singleLevel"/>
    <w:tmpl w:val="547FFE0E"/>
    <w:lvl w:ilvl="0" w:tentative="0">
      <w:start w:val="1"/>
      <w:numFmt w:val="chineseCounting"/>
      <w:suff w:val="nothing"/>
      <w:lvlText w:val="（%1）"/>
      <w:lvlJc w:val="left"/>
      <w:rPr>
        <w:rFonts w:cs="Times New Roman"/>
      </w:rPr>
    </w:lvl>
  </w:abstractNum>
  <w:abstractNum w:abstractNumId="1">
    <w:nsid w:val="547FFF1B"/>
    <w:multiLevelType w:val="singleLevel"/>
    <w:tmpl w:val="547FFF1B"/>
    <w:lvl w:ilvl="0" w:tentative="0">
      <w:start w:val="1"/>
      <w:numFmt w:val="chineseCounting"/>
      <w:suff w:val="nothing"/>
      <w:lvlText w:val="（%1）"/>
      <w:lvlJc w:val="left"/>
      <w:rPr>
        <w:rFonts w:cs="Times New Roman"/>
      </w:rPr>
    </w:lvl>
  </w:abstractNum>
  <w:abstractNum w:abstractNumId="2">
    <w:nsid w:val="5480020F"/>
    <w:multiLevelType w:val="singleLevel"/>
    <w:tmpl w:val="5480020F"/>
    <w:lvl w:ilvl="0" w:tentative="0">
      <w:start w:val="2"/>
      <w:numFmt w:val="chineseCounting"/>
      <w:suff w:val="nothing"/>
      <w:lvlText w:val="%1、"/>
      <w:lvlJc w:val="left"/>
      <w:rPr>
        <w:rFonts w:cs="Times New Roman"/>
      </w:rPr>
    </w:lvl>
  </w:abstractNum>
  <w:abstractNum w:abstractNumId="3">
    <w:nsid w:val="5533512F"/>
    <w:multiLevelType w:val="singleLevel"/>
    <w:tmpl w:val="5533512F"/>
    <w:lvl w:ilvl="0" w:tentative="0">
      <w:start w:val="1"/>
      <w:numFmt w:val="decimal"/>
      <w:suff w:val="nothing"/>
      <w:lvlText w:val="%1、"/>
      <w:lvlJc w:val="left"/>
      <w:rPr>
        <w:rFonts w:cs="Times New Roman"/>
        <w:b/>
      </w:rPr>
    </w:lvl>
  </w:abstractNum>
  <w:abstractNum w:abstractNumId="4">
    <w:nsid w:val="5533514A"/>
    <w:multiLevelType w:val="singleLevel"/>
    <w:tmpl w:val="5533514A"/>
    <w:lvl w:ilvl="0" w:tentative="0">
      <w:start w:val="4"/>
      <w:numFmt w:val="decimal"/>
      <w:suff w:val="nothing"/>
      <w:lvlText w:val="%1、"/>
      <w:lvlJc w:val="left"/>
      <w:rPr>
        <w:rFonts w:cs="Times New Roman"/>
        <w:b/>
      </w:rPr>
    </w:lvl>
  </w:abstractNum>
  <w:abstractNum w:abstractNumId="5">
    <w:nsid w:val="55C80F11"/>
    <w:multiLevelType w:val="singleLevel"/>
    <w:tmpl w:val="55C80F11"/>
    <w:lvl w:ilvl="0" w:tentative="0">
      <w:start w:val="1"/>
      <w:numFmt w:val="decimal"/>
      <w:suff w:val="nothing"/>
      <w:lvlText w:val="%1."/>
      <w:lvlJc w:val="left"/>
      <w:rPr>
        <w:rFonts w:cs="Times New Roman"/>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gyMjZhYWNjMGI5ZWMxZGYyOWIwMzYyNzQ0ZmQ0YTUifQ=="/>
  </w:docVars>
  <w:rsids>
    <w:rsidRoot w:val="00EB3007"/>
    <w:rsid w:val="00012C66"/>
    <w:rsid w:val="00053275"/>
    <w:rsid w:val="000E31CC"/>
    <w:rsid w:val="000F1555"/>
    <w:rsid w:val="00120A8A"/>
    <w:rsid w:val="00125C2A"/>
    <w:rsid w:val="00125D1E"/>
    <w:rsid w:val="001A3939"/>
    <w:rsid w:val="00291A26"/>
    <w:rsid w:val="002B1FF3"/>
    <w:rsid w:val="002D44A0"/>
    <w:rsid w:val="002D472E"/>
    <w:rsid w:val="002E5889"/>
    <w:rsid w:val="00387361"/>
    <w:rsid w:val="003B674D"/>
    <w:rsid w:val="00564984"/>
    <w:rsid w:val="005753B0"/>
    <w:rsid w:val="005C7953"/>
    <w:rsid w:val="005D64DE"/>
    <w:rsid w:val="00683EBF"/>
    <w:rsid w:val="007805B8"/>
    <w:rsid w:val="00853166"/>
    <w:rsid w:val="00877716"/>
    <w:rsid w:val="008B7278"/>
    <w:rsid w:val="008C0D97"/>
    <w:rsid w:val="00905EBA"/>
    <w:rsid w:val="00963CEE"/>
    <w:rsid w:val="00985A01"/>
    <w:rsid w:val="009A011C"/>
    <w:rsid w:val="00B17A8A"/>
    <w:rsid w:val="00B65806"/>
    <w:rsid w:val="00BB143E"/>
    <w:rsid w:val="00C359C9"/>
    <w:rsid w:val="00C46241"/>
    <w:rsid w:val="00C62A80"/>
    <w:rsid w:val="00C77E36"/>
    <w:rsid w:val="00C8786F"/>
    <w:rsid w:val="00D04E5A"/>
    <w:rsid w:val="00D95C3B"/>
    <w:rsid w:val="00E61B1B"/>
    <w:rsid w:val="00E95483"/>
    <w:rsid w:val="00E97312"/>
    <w:rsid w:val="00EB3007"/>
    <w:rsid w:val="00F2394E"/>
    <w:rsid w:val="00FA5A2F"/>
    <w:rsid w:val="67D04E2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8"/>
    <w:qFormat/>
    <w:uiPriority w:val="99"/>
    <w:pPr>
      <w:jc w:val="left"/>
      <w:outlineLvl w:val="2"/>
    </w:pPr>
    <w:rPr>
      <w:rFonts w:ascii="宋体" w:hAnsi="宋体" w:cs="宋体"/>
      <w:b/>
      <w:kern w:val="0"/>
      <w:sz w:val="24"/>
      <w:szCs w:val="24"/>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rPr>
      <w:rFonts w:cs="Times New Roman"/>
    </w:rPr>
  </w:style>
  <w:style w:type="character" w:customStyle="1" w:styleId="8">
    <w:name w:val="Heading 3 Char"/>
    <w:basedOn w:val="6"/>
    <w:link w:val="2"/>
    <w:locked/>
    <w:uiPriority w:val="99"/>
    <w:rPr>
      <w:rFonts w:ascii="宋体" w:hAnsi="宋体" w:eastAsia="宋体" w:cs="宋体"/>
      <w:b/>
      <w:kern w:val="0"/>
      <w:sz w:val="24"/>
      <w:szCs w:val="24"/>
    </w:rPr>
  </w:style>
  <w:style w:type="character" w:customStyle="1" w:styleId="9">
    <w:name w:val="Footer Char"/>
    <w:basedOn w:val="6"/>
    <w:link w:val="3"/>
    <w:locked/>
    <w:uiPriority w:val="99"/>
    <w:rPr>
      <w:rFonts w:ascii="Times New Roman" w:hAnsi="Times New Roman" w:eastAsia="宋体" w:cs="Times New Roman"/>
      <w:sz w:val="20"/>
      <w:szCs w:val="20"/>
    </w:rPr>
  </w:style>
  <w:style w:type="character" w:customStyle="1" w:styleId="10">
    <w:name w:val="Header Char"/>
    <w:basedOn w:val="6"/>
    <w:link w:val="4"/>
    <w:qFormat/>
    <w:locked/>
    <w:uiPriority w:val="99"/>
    <w:rPr>
      <w:rFonts w:ascii="Times New Roman" w:hAnsi="Times New Roman" w:eastAsia="宋体" w:cs="Times New Roman"/>
      <w:sz w:val="18"/>
      <w:szCs w:val="18"/>
    </w:rPr>
  </w:style>
  <w:style w:type="paragraph" w:customStyle="1" w:styleId="11">
    <w:name w:val="p17"/>
    <w:basedOn w:val="1"/>
    <w:uiPriority w:val="99"/>
    <w:pPr>
      <w:widowControl/>
      <w:spacing w:before="100" w:after="1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微软中国</Company>
  <Pages>30</Pages>
  <Words>16209</Words>
  <Characters>16379</Characters>
  <Lines>0</Lines>
  <Paragraphs>0</Paragraphs>
  <TotalTime>55</TotalTime>
  <ScaleCrop>false</ScaleCrop>
  <LinksUpToDate>false</LinksUpToDate>
  <CharactersWithSpaces>16490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2015-07-20T02:57:00Z</dcterms:created>
  <dc:creator>微软用户</dc:creator>
  <cp:lastModifiedBy>随风而起</cp:lastModifiedBy>
  <cp:lastPrinted>2015-07-20T02:37:00Z</cp:lastPrinted>
  <dcterms:modified xsi:type="dcterms:W3CDTF">2024-05-27T06:55:57Z</dcterms:modified>
  <dc:title> 。，，，，，，，，，，，，，，，，，，，，，。邵阳市大祥区城市管理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8D51868102F647A889AAFF0B4C93B876_12</vt:lpwstr>
  </property>
</Properties>
</file>